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DC7" w:rsidRDefault="00923625">
      <w:pPr>
        <w:jc w:val="center"/>
        <w:rPr>
          <w:sz w:val="28"/>
        </w:rPr>
      </w:pPr>
      <w:r>
        <w:rPr>
          <w:noProof/>
          <w:sz w:val="28"/>
        </w:rPr>
        <w:drawing>
          <wp:inline distT="0" distB="0" distL="0" distR="0">
            <wp:extent cx="965200" cy="7620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rcRect/>
                    <a:stretch/>
                  </pic:blipFill>
                  <pic:spPr>
                    <a:xfrm>
                      <a:off x="0" y="0"/>
                      <a:ext cx="965200" cy="762000"/>
                    </a:xfrm>
                    <a:prstGeom prst="rect">
                      <a:avLst/>
                    </a:prstGeom>
                  </pic:spPr>
                </pic:pic>
              </a:graphicData>
            </a:graphic>
          </wp:inline>
        </w:drawing>
      </w:r>
    </w:p>
    <w:p w:rsidR="00023DC7" w:rsidRDefault="00023DC7">
      <w:pPr>
        <w:jc w:val="center"/>
        <w:rPr>
          <w:sz w:val="28"/>
        </w:rPr>
      </w:pPr>
    </w:p>
    <w:p w:rsidR="00023DC7" w:rsidRDefault="00923625">
      <w:pPr>
        <w:pStyle w:val="af"/>
        <w:jc w:val="center"/>
        <w:rPr>
          <w:b/>
          <w:spacing w:val="20"/>
          <w:sz w:val="36"/>
          <w:u w:val="single"/>
        </w:rPr>
      </w:pPr>
      <w:r>
        <w:rPr>
          <w:b/>
          <w:spacing w:val="20"/>
          <w:sz w:val="36"/>
          <w:u w:val="single"/>
        </w:rPr>
        <w:t>ПРАВИТЕЛЬСТВО ИВАНОВСКОЙ ОБЛАСТИ</w:t>
      </w:r>
    </w:p>
    <w:p w:rsidR="00023DC7" w:rsidRDefault="00023DC7">
      <w:pPr>
        <w:pStyle w:val="af"/>
        <w:jc w:val="center"/>
        <w:rPr>
          <w:spacing w:val="20"/>
          <w:sz w:val="28"/>
        </w:rPr>
      </w:pPr>
    </w:p>
    <w:p w:rsidR="00023DC7" w:rsidRDefault="00923625">
      <w:pPr>
        <w:pStyle w:val="af"/>
        <w:jc w:val="center"/>
        <w:rPr>
          <w:b/>
          <w:spacing w:val="34"/>
          <w:sz w:val="36"/>
        </w:rPr>
      </w:pPr>
      <w:r>
        <w:rPr>
          <w:b/>
          <w:spacing w:val="34"/>
          <w:sz w:val="36"/>
        </w:rPr>
        <w:t>ПОСТАНОВЛЕНИЕ</w:t>
      </w:r>
    </w:p>
    <w:p w:rsidR="00023DC7" w:rsidRDefault="00023DC7">
      <w:pPr>
        <w:pStyle w:val="af"/>
        <w:jc w:val="center"/>
        <w:rPr>
          <w:spacing w:val="34"/>
          <w:sz w:val="28"/>
        </w:rPr>
      </w:pPr>
    </w:p>
    <w:p w:rsidR="00023DC7" w:rsidRDefault="00023DC7">
      <w:pPr>
        <w:pStyle w:val="af"/>
        <w:jc w:val="center"/>
        <w:rPr>
          <w:spacing w:val="34"/>
          <w:sz w:val="28"/>
        </w:rPr>
      </w:pPr>
    </w:p>
    <w:tbl>
      <w:tblPr>
        <w:tblW w:w="0" w:type="auto"/>
        <w:tblLayout w:type="fixed"/>
        <w:tblLook w:val="04A0" w:firstRow="1" w:lastRow="0" w:firstColumn="1" w:lastColumn="0" w:noHBand="0" w:noVBand="1"/>
      </w:tblPr>
      <w:tblGrid>
        <w:gridCol w:w="8929"/>
      </w:tblGrid>
      <w:tr w:rsidR="00023DC7">
        <w:tc>
          <w:tcPr>
            <w:tcW w:w="8929" w:type="dxa"/>
          </w:tcPr>
          <w:p w:rsidR="00023DC7" w:rsidRDefault="00E8412B">
            <w:pPr>
              <w:jc w:val="center"/>
              <w:rPr>
                <w:sz w:val="28"/>
              </w:rPr>
            </w:pPr>
            <w:r>
              <w:rPr>
                <w:sz w:val="28"/>
              </w:rPr>
              <w:t>от 26.10.2023</w:t>
            </w:r>
            <w:bookmarkStart w:id="0" w:name="_GoBack"/>
            <w:bookmarkEnd w:id="0"/>
            <w:r w:rsidR="00F8619B">
              <w:rPr>
                <w:sz w:val="28"/>
              </w:rPr>
              <w:t xml:space="preserve"> № 5</w:t>
            </w:r>
            <w:r w:rsidR="00923625">
              <w:rPr>
                <w:sz w:val="28"/>
              </w:rPr>
              <w:t>14-п</w:t>
            </w:r>
          </w:p>
          <w:p w:rsidR="00023DC7" w:rsidRDefault="00923625">
            <w:pPr>
              <w:jc w:val="center"/>
              <w:rPr>
                <w:sz w:val="28"/>
              </w:rPr>
            </w:pPr>
            <w:r>
              <w:rPr>
                <w:sz w:val="28"/>
              </w:rPr>
              <w:t>г. Иваново</w:t>
            </w:r>
          </w:p>
        </w:tc>
      </w:tr>
    </w:tbl>
    <w:p w:rsidR="00023DC7" w:rsidRDefault="00023DC7">
      <w:pPr>
        <w:jc w:val="center"/>
        <w:rPr>
          <w:sz w:val="28"/>
        </w:rPr>
      </w:pPr>
    </w:p>
    <w:tbl>
      <w:tblPr>
        <w:tblW w:w="0" w:type="auto"/>
        <w:tblLayout w:type="fixed"/>
        <w:tblLook w:val="04A0" w:firstRow="1" w:lastRow="0" w:firstColumn="1" w:lastColumn="0" w:noHBand="0" w:noVBand="1"/>
      </w:tblPr>
      <w:tblGrid>
        <w:gridCol w:w="8929"/>
      </w:tblGrid>
      <w:tr w:rsidR="00023DC7">
        <w:trPr>
          <w:trHeight w:val="569"/>
        </w:trPr>
        <w:tc>
          <w:tcPr>
            <w:tcW w:w="8929" w:type="dxa"/>
          </w:tcPr>
          <w:p w:rsidR="00023DC7" w:rsidRDefault="00923625">
            <w:pPr>
              <w:jc w:val="center"/>
              <w:rPr>
                <w:b/>
                <w:sz w:val="28"/>
              </w:rPr>
            </w:pPr>
            <w:r>
              <w:rPr>
                <w:b/>
                <w:sz w:val="28"/>
              </w:rPr>
              <w:t>О прогнозе социально-экономического развития Ивановской области на 2024 год и плановый период 2025 и 2026 годов</w:t>
            </w:r>
          </w:p>
        </w:tc>
      </w:tr>
    </w:tbl>
    <w:p w:rsidR="00023DC7" w:rsidRDefault="00023DC7">
      <w:pPr>
        <w:jc w:val="center"/>
        <w:rPr>
          <w:sz w:val="28"/>
        </w:rPr>
      </w:pPr>
    </w:p>
    <w:p w:rsidR="00023DC7" w:rsidRDefault="00023DC7">
      <w:pPr>
        <w:jc w:val="center"/>
        <w:rPr>
          <w:sz w:val="28"/>
        </w:rPr>
      </w:pPr>
    </w:p>
    <w:tbl>
      <w:tblPr>
        <w:tblW w:w="0" w:type="auto"/>
        <w:tblLayout w:type="fixed"/>
        <w:tblLook w:val="04A0" w:firstRow="1" w:lastRow="0" w:firstColumn="1" w:lastColumn="0" w:noHBand="0" w:noVBand="1"/>
      </w:tblPr>
      <w:tblGrid>
        <w:gridCol w:w="8929"/>
      </w:tblGrid>
      <w:tr w:rsidR="00023DC7">
        <w:tc>
          <w:tcPr>
            <w:tcW w:w="8929" w:type="dxa"/>
          </w:tcPr>
          <w:p w:rsidR="00023DC7" w:rsidRDefault="00923625">
            <w:pPr>
              <w:ind w:firstLine="709"/>
              <w:jc w:val="both"/>
              <w:rPr>
                <w:b/>
                <w:sz w:val="28"/>
              </w:rPr>
            </w:pPr>
            <w:r>
              <w:rPr>
                <w:sz w:val="28"/>
              </w:rPr>
              <w:t xml:space="preserve">В соответствии с Бюджетным кодексом Российской Федерации, Федеральным законом от 28.06.2014 № 172-ФЗ «О стратегическом планировании в Российской Федерации», Законом Ивановской области             от 01.06.2016 № 40-ОЗ «О стратегическом планировании в Ивановской области», постановлением Правительства Ивановской области                  от 30.12.2015 № 639-п «Об утверждении порядков разработки, корректировки, осуществления мониторинга и контроля реализации прогнозов социально-экономического развития Ивановской области на среднесрочный и долгосрочный периоды» Правительство Ивановской области </w:t>
            </w:r>
            <w:r>
              <w:rPr>
                <w:b/>
                <w:sz w:val="28"/>
              </w:rPr>
              <w:t>п о с т а н о в л я е т:</w:t>
            </w:r>
          </w:p>
          <w:p w:rsidR="00023DC7" w:rsidRDefault="00923625">
            <w:pPr>
              <w:ind w:firstLine="709"/>
              <w:jc w:val="both"/>
              <w:rPr>
                <w:sz w:val="28"/>
              </w:rPr>
            </w:pPr>
            <w:r>
              <w:rPr>
                <w:sz w:val="28"/>
              </w:rPr>
              <w:t>1. Одобрить прогноз социально-экономического развития Ивановской области на 2024 год и плановый период 2025 и 2026 годов (прилагается).</w:t>
            </w:r>
          </w:p>
          <w:p w:rsidR="00023DC7" w:rsidRDefault="00923625">
            <w:pPr>
              <w:ind w:firstLine="709"/>
              <w:jc w:val="both"/>
              <w:rPr>
                <w:sz w:val="28"/>
              </w:rPr>
            </w:pPr>
            <w:r>
              <w:rPr>
                <w:sz w:val="28"/>
              </w:rPr>
              <w:t>2. Внести прогноз социально-экономического развития Ивановской области на 2024 год и плановый период 2025 и 2026 годов одновременно с проектом бюджета Ивановской области на 2024 год и на плановый период 2025 и 2026 годов в Ивановскую областную Думу в установленном законом порядке.</w:t>
            </w:r>
          </w:p>
          <w:p w:rsidR="00023DC7" w:rsidRDefault="00023DC7">
            <w:pPr>
              <w:pStyle w:val="af6"/>
            </w:pPr>
          </w:p>
        </w:tc>
      </w:tr>
    </w:tbl>
    <w:p w:rsidR="00023DC7" w:rsidRDefault="00023DC7">
      <w:pPr>
        <w:pStyle w:val="af6"/>
      </w:pPr>
    </w:p>
    <w:p w:rsidR="00023DC7" w:rsidRDefault="00023DC7">
      <w:pPr>
        <w:pStyle w:val="af6"/>
      </w:pPr>
    </w:p>
    <w:p w:rsidR="00023DC7" w:rsidRDefault="00023DC7">
      <w:pPr>
        <w:pStyle w:val="af6"/>
      </w:pPr>
    </w:p>
    <w:tbl>
      <w:tblPr>
        <w:tblW w:w="0" w:type="auto"/>
        <w:tblLayout w:type="fixed"/>
        <w:tblLook w:val="04A0" w:firstRow="1" w:lastRow="0" w:firstColumn="1" w:lastColumn="0" w:noHBand="0" w:noVBand="1"/>
      </w:tblPr>
      <w:tblGrid>
        <w:gridCol w:w="4441"/>
        <w:gridCol w:w="4488"/>
      </w:tblGrid>
      <w:tr w:rsidR="00023DC7">
        <w:tc>
          <w:tcPr>
            <w:tcW w:w="4441" w:type="dxa"/>
          </w:tcPr>
          <w:p w:rsidR="00023DC7" w:rsidRDefault="00923625">
            <w:pPr>
              <w:pStyle w:val="af6"/>
              <w:ind w:right="-156" w:firstLine="0"/>
              <w:jc w:val="left"/>
              <w:rPr>
                <w:b/>
              </w:rPr>
            </w:pPr>
            <w:r>
              <w:rPr>
                <w:b/>
              </w:rPr>
              <w:t>Губернатор</w:t>
            </w:r>
          </w:p>
          <w:p w:rsidR="00023DC7" w:rsidRDefault="00923625">
            <w:pPr>
              <w:pStyle w:val="af6"/>
              <w:ind w:right="-156" w:firstLine="0"/>
              <w:jc w:val="left"/>
              <w:rPr>
                <w:b/>
              </w:rPr>
            </w:pPr>
            <w:r>
              <w:rPr>
                <w:b/>
              </w:rPr>
              <w:t>Ивановской области</w:t>
            </w:r>
          </w:p>
        </w:tc>
        <w:tc>
          <w:tcPr>
            <w:tcW w:w="4488" w:type="dxa"/>
          </w:tcPr>
          <w:p w:rsidR="00023DC7" w:rsidRDefault="00023DC7">
            <w:pPr>
              <w:pStyle w:val="af6"/>
              <w:ind w:firstLine="0"/>
              <w:jc w:val="right"/>
              <w:rPr>
                <w:b/>
              </w:rPr>
            </w:pPr>
          </w:p>
          <w:p w:rsidR="00023DC7" w:rsidRDefault="00923625">
            <w:pPr>
              <w:pStyle w:val="af6"/>
              <w:ind w:firstLine="0"/>
              <w:jc w:val="right"/>
              <w:rPr>
                <w:b/>
              </w:rPr>
            </w:pPr>
            <w:r>
              <w:rPr>
                <w:b/>
              </w:rPr>
              <w:t>С.С. Воскресенский</w:t>
            </w:r>
          </w:p>
        </w:tc>
      </w:tr>
    </w:tbl>
    <w:p w:rsidR="00023DC7" w:rsidRDefault="00023DC7">
      <w:pPr>
        <w:rPr>
          <w:sz w:val="28"/>
        </w:rPr>
      </w:pPr>
    </w:p>
    <w:p w:rsidR="00023DC7" w:rsidRDefault="00923625">
      <w:pPr>
        <w:rPr>
          <w:sz w:val="28"/>
        </w:rPr>
      </w:pPr>
      <w:r>
        <w:rPr>
          <w:sz w:val="28"/>
        </w:rPr>
        <w:br w:type="page"/>
      </w:r>
    </w:p>
    <w:p w:rsidR="00023DC7" w:rsidRDefault="00923625">
      <w:pPr>
        <w:pStyle w:val="10"/>
        <w:spacing w:before="0" w:after="0"/>
        <w:jc w:val="right"/>
        <w:rPr>
          <w:rFonts w:ascii="Times New Roman" w:hAnsi="Times New Roman"/>
          <w:b w:val="0"/>
          <w:sz w:val="28"/>
        </w:rPr>
      </w:pPr>
      <w:r>
        <w:rPr>
          <w:rFonts w:ascii="Times New Roman" w:hAnsi="Times New Roman"/>
          <w:b w:val="0"/>
          <w:sz w:val="28"/>
        </w:rPr>
        <w:lastRenderedPageBreak/>
        <w:t>Приложение к постановлению</w:t>
      </w:r>
    </w:p>
    <w:p w:rsidR="00023DC7" w:rsidRDefault="00923625">
      <w:pPr>
        <w:pStyle w:val="10"/>
        <w:spacing w:before="0" w:after="0"/>
        <w:jc w:val="right"/>
        <w:rPr>
          <w:rFonts w:ascii="Times New Roman" w:hAnsi="Times New Roman"/>
          <w:b w:val="0"/>
          <w:sz w:val="28"/>
        </w:rPr>
      </w:pPr>
      <w:r>
        <w:rPr>
          <w:rFonts w:ascii="Times New Roman" w:hAnsi="Times New Roman"/>
          <w:b w:val="0"/>
          <w:sz w:val="28"/>
        </w:rPr>
        <w:t>Правительства Ивановской области</w:t>
      </w:r>
    </w:p>
    <w:p w:rsidR="00023DC7" w:rsidRDefault="00923625">
      <w:pPr>
        <w:pStyle w:val="10"/>
        <w:spacing w:before="0" w:after="0"/>
        <w:jc w:val="right"/>
        <w:rPr>
          <w:rFonts w:ascii="Times New Roman" w:hAnsi="Times New Roman"/>
          <w:b w:val="0"/>
          <w:sz w:val="28"/>
        </w:rPr>
      </w:pPr>
      <w:r>
        <w:rPr>
          <w:rFonts w:ascii="Times New Roman" w:hAnsi="Times New Roman"/>
          <w:b w:val="0"/>
          <w:sz w:val="28"/>
        </w:rPr>
        <w:t>от 26.10.2023 № 514-п</w:t>
      </w:r>
    </w:p>
    <w:p w:rsidR="00023DC7" w:rsidRDefault="00023DC7">
      <w:pPr>
        <w:jc w:val="center"/>
        <w:rPr>
          <w:caps/>
          <w:spacing w:val="120"/>
          <w:sz w:val="28"/>
        </w:rPr>
      </w:pPr>
    </w:p>
    <w:p w:rsidR="00023DC7" w:rsidRDefault="00923625">
      <w:pPr>
        <w:jc w:val="center"/>
        <w:rPr>
          <w:b/>
          <w:caps/>
          <w:spacing w:val="120"/>
          <w:sz w:val="28"/>
        </w:rPr>
      </w:pPr>
      <w:r>
        <w:rPr>
          <w:b/>
          <w:caps/>
          <w:spacing w:val="120"/>
          <w:sz w:val="28"/>
        </w:rPr>
        <w:t>Прогноз</w:t>
      </w:r>
    </w:p>
    <w:p w:rsidR="00023DC7" w:rsidRDefault="00923625">
      <w:pPr>
        <w:jc w:val="center"/>
        <w:rPr>
          <w:b/>
          <w:sz w:val="28"/>
        </w:rPr>
      </w:pPr>
      <w:r>
        <w:rPr>
          <w:b/>
          <w:sz w:val="28"/>
        </w:rPr>
        <w:t>социально-экономического развития Ивановской области</w:t>
      </w:r>
    </w:p>
    <w:p w:rsidR="00023DC7" w:rsidRDefault="00923625">
      <w:pPr>
        <w:jc w:val="center"/>
        <w:rPr>
          <w:b/>
          <w:sz w:val="28"/>
        </w:rPr>
      </w:pPr>
      <w:r>
        <w:rPr>
          <w:b/>
          <w:sz w:val="28"/>
        </w:rPr>
        <w:t>на 2024 год и плановый период 2025 и 2026 годов</w:t>
      </w:r>
    </w:p>
    <w:p w:rsidR="00023DC7" w:rsidRDefault="00023DC7">
      <w:pPr>
        <w:jc w:val="center"/>
        <w:rPr>
          <w:b/>
          <w:sz w:val="28"/>
        </w:rPr>
      </w:pPr>
    </w:p>
    <w:p w:rsidR="00023DC7" w:rsidRDefault="00923625">
      <w:pPr>
        <w:jc w:val="center"/>
        <w:rPr>
          <w:b/>
          <w:sz w:val="28"/>
        </w:rPr>
      </w:pPr>
      <w:r>
        <w:rPr>
          <w:b/>
          <w:sz w:val="28"/>
        </w:rPr>
        <w:t>Раздел 1. Пояснительная записка</w:t>
      </w:r>
    </w:p>
    <w:p w:rsidR="00023DC7" w:rsidRDefault="00923625">
      <w:pPr>
        <w:jc w:val="center"/>
        <w:rPr>
          <w:b/>
          <w:sz w:val="28"/>
        </w:rPr>
      </w:pPr>
      <w:r>
        <w:rPr>
          <w:b/>
          <w:sz w:val="28"/>
        </w:rPr>
        <w:t>к прогнозу социально-экономического развития Ивановской области</w:t>
      </w:r>
      <w:r>
        <w:rPr>
          <w:b/>
          <w:sz w:val="28"/>
        </w:rPr>
        <w:br/>
        <w:t>на 2024 год и плановый период 2025 и 2026 годов</w:t>
      </w:r>
    </w:p>
    <w:p w:rsidR="00023DC7" w:rsidRDefault="00023DC7">
      <w:pPr>
        <w:jc w:val="center"/>
        <w:rPr>
          <w:sz w:val="28"/>
        </w:rPr>
      </w:pPr>
    </w:p>
    <w:p w:rsidR="00023DC7" w:rsidRDefault="00923625">
      <w:pPr>
        <w:jc w:val="center"/>
        <w:rPr>
          <w:b/>
          <w:sz w:val="28"/>
        </w:rPr>
      </w:pPr>
      <w:r>
        <w:rPr>
          <w:b/>
          <w:sz w:val="28"/>
        </w:rPr>
        <w:t xml:space="preserve">Итоги социально-экономического развития региона </w:t>
      </w:r>
    </w:p>
    <w:p w:rsidR="00023DC7" w:rsidRDefault="00923625">
      <w:pPr>
        <w:jc w:val="center"/>
        <w:rPr>
          <w:b/>
          <w:sz w:val="28"/>
        </w:rPr>
      </w:pPr>
      <w:r>
        <w:rPr>
          <w:b/>
          <w:sz w:val="28"/>
        </w:rPr>
        <w:t>за отчетный период</w:t>
      </w:r>
    </w:p>
    <w:p w:rsidR="00023DC7" w:rsidRDefault="00923625">
      <w:pPr>
        <w:ind w:firstLine="709"/>
        <w:jc w:val="both"/>
        <w:rPr>
          <w:sz w:val="28"/>
        </w:rPr>
      </w:pPr>
      <w:r>
        <w:rPr>
          <w:sz w:val="28"/>
        </w:rPr>
        <w:t>За отчетный 2022 год по сравнению с 2021 годом по данным территориального органа Федеральной службы государственной статистики по Ивановской области (далее – ТО ФСГС по Ивановской области) отмечен рост инвестиций в основной капитал на 13%, ввода жилых домов – на 8,2%; объема платных услуг, оказанных населению - на 3,4%; оборота розничной торговли - на 1,5% и продукции сельского хозяйства – на 0,9%.</w:t>
      </w:r>
    </w:p>
    <w:p w:rsidR="00023DC7" w:rsidRDefault="00923625">
      <w:pPr>
        <w:ind w:firstLine="709"/>
        <w:jc w:val="both"/>
        <w:rPr>
          <w:sz w:val="28"/>
        </w:rPr>
      </w:pPr>
      <w:r>
        <w:rPr>
          <w:sz w:val="28"/>
        </w:rPr>
        <w:t>Индекс промышленного производства (далее – ИПП) за 2022 год составил 101,8%. По основным видам экономической деятельности индекс производства к уровню 2021 года составил: в добыче полезных ископаемых - 85,2%, в обрабатывающих производствах – 105,2%, в обеспечении электрической энергией, газом и паром; кондиционировании воздуха – 85,5%, в водоснабжении; водоотведении, организации сбора и утилизации отходов, деятельности по ликвидации загрязнений – 100,3%.</w:t>
      </w:r>
    </w:p>
    <w:p w:rsidR="00023DC7" w:rsidRDefault="00923625">
      <w:pPr>
        <w:ind w:firstLine="709"/>
        <w:jc w:val="both"/>
        <w:rPr>
          <w:sz w:val="28"/>
        </w:rPr>
      </w:pPr>
      <w:r>
        <w:rPr>
          <w:sz w:val="28"/>
        </w:rPr>
        <w:t>Рост наблюдался по отдельным видам обрабатывающих производств: производстве компьютеров, электронных и оптических изделий – на 35,6%; лекарственных средств и материалов, применяемых в медицинских целях – на 20,7%; машин и оборудования, не включенных в другие группировки – на 18,9%; электрического оборудования – на 16,6%; одежды – на 16,5%; мебели – на 16,3%; металлургическом – на 11,5%; ремонт и монтаж машин и оборудования – на 7,5%; текстильных изделий – 5,9%; готовых металлических изделий, кроме машин и оборудования – на 1,6%; бумаги и бумажных изделий – на 0,8%.</w:t>
      </w:r>
    </w:p>
    <w:p w:rsidR="00023DC7" w:rsidRDefault="00923625">
      <w:pPr>
        <w:ind w:firstLine="709"/>
        <w:jc w:val="both"/>
        <w:rPr>
          <w:sz w:val="28"/>
        </w:rPr>
      </w:pPr>
      <w:r>
        <w:rPr>
          <w:sz w:val="28"/>
        </w:rPr>
        <w:t>В структуре промышленности доля добычи полезных ископаемых составила 0,4%, обрабатывающих производств – 88,0%, обеспечения электрической энергией, газом и паром; кондиционирования воздуха – 9,0%, водоснабжения; водоотведения, организации сбора и утилизации отходов, деятельности по ликвидации загрязнений – 2,5%.</w:t>
      </w:r>
    </w:p>
    <w:p w:rsidR="00023DC7" w:rsidRDefault="00923625">
      <w:pPr>
        <w:ind w:firstLine="709"/>
        <w:jc w:val="both"/>
        <w:rPr>
          <w:sz w:val="28"/>
        </w:rPr>
      </w:pPr>
      <w:r>
        <w:rPr>
          <w:sz w:val="28"/>
        </w:rPr>
        <w:t xml:space="preserve">Среднегодовой индекс потребительских цен за 2022 год к уровню 2021 года составил 116%. Непродовольственные товары подорожали на </w:t>
      </w:r>
      <w:r>
        <w:rPr>
          <w:sz w:val="28"/>
        </w:rPr>
        <w:lastRenderedPageBreak/>
        <w:t>19,1%, продовольственные товары – на 15,7%, цены на услуги выросли на 11,4%.</w:t>
      </w:r>
    </w:p>
    <w:p w:rsidR="00023DC7" w:rsidRDefault="00923625">
      <w:pPr>
        <w:ind w:firstLine="709"/>
        <w:jc w:val="both"/>
        <w:rPr>
          <w:sz w:val="28"/>
        </w:rPr>
      </w:pPr>
      <w:r>
        <w:rPr>
          <w:sz w:val="28"/>
        </w:rPr>
        <w:t>По итогам 2022 года среднемесячная номинальная заработная плата выросла на 12,3%. Уровень безработицы по отношению к экономически активному населению по состоянию на 31.12.2022 составил 0,5% (на 31.12.2021 – 0,7%).</w:t>
      </w:r>
    </w:p>
    <w:p w:rsidR="00023DC7" w:rsidRDefault="00023DC7">
      <w:pPr>
        <w:jc w:val="center"/>
        <w:rPr>
          <w:b/>
          <w:sz w:val="28"/>
        </w:rPr>
      </w:pPr>
    </w:p>
    <w:p w:rsidR="00023DC7" w:rsidRDefault="00923625">
      <w:pPr>
        <w:jc w:val="center"/>
        <w:rPr>
          <w:b/>
          <w:sz w:val="28"/>
        </w:rPr>
      </w:pPr>
      <w:r>
        <w:rPr>
          <w:b/>
          <w:sz w:val="28"/>
        </w:rPr>
        <w:t>Подраздел 1.1. Экономические показатели</w:t>
      </w:r>
    </w:p>
    <w:p w:rsidR="00023DC7" w:rsidRDefault="00923625">
      <w:pPr>
        <w:ind w:firstLine="709"/>
        <w:jc w:val="both"/>
        <w:rPr>
          <w:sz w:val="28"/>
        </w:rPr>
      </w:pPr>
      <w:r>
        <w:rPr>
          <w:sz w:val="28"/>
        </w:rPr>
        <w:t>Прогноз социально-экономического развития Ивановской области на 2024 год и плановый период 2025 и 2026 годов (далее – Прогноз) разработан на основе анализа тенденций развития экономики                                за 2021 - 2022 годы и сложившейся экономической ситуации в текущем году, данных, представленных ТО ФСГС по Ивановской области.</w:t>
      </w:r>
    </w:p>
    <w:p w:rsidR="00023DC7" w:rsidRDefault="00923625">
      <w:pPr>
        <w:ind w:firstLine="709"/>
        <w:jc w:val="both"/>
        <w:rPr>
          <w:sz w:val="28"/>
        </w:rPr>
      </w:pPr>
      <w:r>
        <w:rPr>
          <w:sz w:val="28"/>
        </w:rPr>
        <w:t>Прогноз разработан в базовом варианте, в котором заложены основы реализации поставленных Правительством Российской Федерации целей и задач, обозначенных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и от 21.07.2020 № 474 «О национальных целях развития Российской Федерации на период до 2030 года», постановлением Правительства Ивановской области от 27.04.2021 № 220-п «Об утверждении Стратегии социально-экономического развития Ивановской области до 2030 года», направленных на обеспечение ускорения темпов экономического роста, улучшение демографической ситуации.</w:t>
      </w:r>
    </w:p>
    <w:p w:rsidR="00023DC7" w:rsidRDefault="00923625">
      <w:pPr>
        <w:ind w:firstLine="709"/>
        <w:jc w:val="both"/>
        <w:rPr>
          <w:sz w:val="28"/>
          <w:shd w:val="clear" w:color="auto" w:fill="FFD821"/>
        </w:rPr>
      </w:pPr>
      <w:r>
        <w:rPr>
          <w:sz w:val="28"/>
        </w:rPr>
        <w:t>Прогноз учитывает реальную ситуацию в экономике области и служит основой для проектировки областного бюджета на период       2024 – 2026 годов, а также мероприятия по поддержке предпринимательской деятельности в Ивановской области, проводимые на территории региона в целях снижения налоговой нагрузки на предпринимателей Ивановской области в условиях ухудшения геополитической и экономической ситуации.</w:t>
      </w:r>
    </w:p>
    <w:p w:rsidR="00023DC7" w:rsidRDefault="00023DC7">
      <w:pPr>
        <w:jc w:val="center"/>
        <w:rPr>
          <w:b/>
          <w:sz w:val="28"/>
        </w:rPr>
      </w:pPr>
    </w:p>
    <w:p w:rsidR="00023DC7" w:rsidRDefault="00923625">
      <w:pPr>
        <w:jc w:val="center"/>
        <w:rPr>
          <w:b/>
          <w:sz w:val="28"/>
        </w:rPr>
      </w:pPr>
      <w:r>
        <w:rPr>
          <w:b/>
          <w:sz w:val="28"/>
        </w:rPr>
        <w:t>1.1.1. Валовой региональный продукт</w:t>
      </w:r>
    </w:p>
    <w:p w:rsidR="00023DC7" w:rsidRDefault="00923625">
      <w:pPr>
        <w:ind w:firstLine="709"/>
        <w:jc w:val="both"/>
        <w:rPr>
          <w:sz w:val="28"/>
        </w:rPr>
      </w:pPr>
      <w:r>
        <w:rPr>
          <w:sz w:val="28"/>
        </w:rPr>
        <w:t>Валовой региональный продукт Ивановской области (далее – ВРП) является основным показателем, характеризующим социально-экономическое развитие региона.</w:t>
      </w:r>
    </w:p>
    <w:p w:rsidR="00023DC7" w:rsidRDefault="00923625">
      <w:pPr>
        <w:ind w:firstLine="709"/>
        <w:jc w:val="both"/>
        <w:rPr>
          <w:sz w:val="28"/>
        </w:rPr>
      </w:pPr>
      <w:r>
        <w:rPr>
          <w:sz w:val="28"/>
        </w:rPr>
        <w:t>По уточненным данным Росстата ВРП Ивановской области за 2020 год составил 269,7 млрд рублей, что выше уровня 2019 года на 1,3%.</w:t>
      </w:r>
    </w:p>
    <w:p w:rsidR="00023DC7" w:rsidRDefault="00923625">
      <w:pPr>
        <w:ind w:firstLine="709"/>
        <w:jc w:val="both"/>
        <w:rPr>
          <w:sz w:val="28"/>
        </w:rPr>
      </w:pPr>
      <w:r>
        <w:rPr>
          <w:sz w:val="28"/>
        </w:rPr>
        <w:t xml:space="preserve">За 2021 год, по предварительным оперативным данным Росстата, </w:t>
      </w:r>
      <w:r>
        <w:rPr>
          <w:sz w:val="28"/>
        </w:rPr>
        <w:br/>
        <w:t>ВРП Ивановской области вырос по сравнению с 2020 годом в сопоставимых ценах на 1,9% и составил 300,6 млрд рублей. Доля Ивановской области в формировании совокупного ВРП регионов Российской Федерации составила 0,3% в 2020 и в 2021 годах.</w:t>
      </w:r>
    </w:p>
    <w:p w:rsidR="00023DC7" w:rsidRDefault="00923625">
      <w:pPr>
        <w:ind w:firstLine="709"/>
        <w:jc w:val="both"/>
        <w:rPr>
          <w:sz w:val="28"/>
        </w:rPr>
      </w:pPr>
      <w:r>
        <w:rPr>
          <w:sz w:val="28"/>
        </w:rPr>
        <w:lastRenderedPageBreak/>
        <w:t>На рост индекса физического объема ВРП в 2021 году повлиял рост индексов физического объема валовой добавленной стоимости (далее – ВДС) по 10 видам экономической деятельности, удельный вес которых в структуре ВРП составил 66,8%: деятельность административная и сопутствующие дополнительные услуги – на 37,2%; обеспечение электрической энергией, газом и паром; кондиционирование воздуха – на 17,7%; деятельность профессиональная, научная и техническая – на 11,8%; деятельность в области информации и связи – на 6,2%; деятельность в области культуры, спорта, организации досуга и развлечений – на 5,6%; добыча полезных ископаемых – на 5,5%; обрабатывающие производства и транспортировка и хранение – на 3,8%; торговля оптовая и розничная, ремонт автотранспортных средств и мотоциклов – на 1,8%; государственное управление и обеспечение военной безопасности; социальное обеспечение – на 0,3%.</w:t>
      </w:r>
    </w:p>
    <w:p w:rsidR="00023DC7" w:rsidRDefault="00923625">
      <w:pPr>
        <w:ind w:firstLine="709"/>
        <w:jc w:val="both"/>
        <w:rPr>
          <w:sz w:val="28"/>
        </w:rPr>
      </w:pPr>
      <w:r>
        <w:rPr>
          <w:sz w:val="28"/>
        </w:rPr>
        <w:t>В то же время снижение индексов физического объема ВДС наблюдался в 2021 году по 9 видам экономической деятельности (их удельный вес в структуре ВРП составил 33,2%): деятельность финансовая и страховая – на 17,3%; сельское, лесное хозяйство, охота, рыболовство и рыбоводство – на 15,7%; предоставление прочих видов услуг – на 5,7%; деятельность по операциям с недвижимым имуществом – на 3,7%; строительство – на 3,0%; водоснабжение; водоотведение, организация сбора и утилизация отходов, деятельность по ликвидации загрязнений – на 2,4%; деятельность в области здравоохранения и социальных услуг – на 1,8%; образование – на 1,1%; деятельность гостиниц и предприятий общественного питания – на 0,1%.</w:t>
      </w:r>
    </w:p>
    <w:p w:rsidR="00023DC7" w:rsidRDefault="00923625">
      <w:pPr>
        <w:ind w:firstLine="709"/>
        <w:jc w:val="both"/>
        <w:rPr>
          <w:sz w:val="28"/>
        </w:rPr>
      </w:pPr>
      <w:r>
        <w:rPr>
          <w:sz w:val="28"/>
        </w:rPr>
        <w:t>Промышленный комплекс региона оказывает наибольшее влияние на структуру ВРП. Удельный вес промышленного производства в ВРП составил в 2021 году 28,3% (в 2020 году – 27,2%).</w:t>
      </w:r>
    </w:p>
    <w:p w:rsidR="00023DC7" w:rsidRDefault="00923625">
      <w:pPr>
        <w:ind w:firstLine="709"/>
        <w:jc w:val="both"/>
        <w:rPr>
          <w:sz w:val="28"/>
        </w:rPr>
      </w:pPr>
      <w:r>
        <w:rPr>
          <w:sz w:val="28"/>
        </w:rPr>
        <w:t>Также в структуре ВРП преобладали: торговля (15,8%), деятельность по операциям с недвижимым имуществом (12,8%), деятельность в области здравоохранения и социальных услуг (6,6%), транспортировка и хранение (5,5%), строительство (4,2%), образование (4,1%), деятельность профессиональная, научная и техническая (3,5%), сельское, лесное хозяйство, охота, рыболовство и рыбоводство (2,8%).</w:t>
      </w:r>
    </w:p>
    <w:p w:rsidR="00023DC7" w:rsidRDefault="00923625">
      <w:pPr>
        <w:ind w:firstLine="708"/>
        <w:jc w:val="both"/>
        <w:rPr>
          <w:sz w:val="28"/>
          <w:highlight w:val="yellow"/>
        </w:rPr>
      </w:pPr>
      <w:r>
        <w:rPr>
          <w:sz w:val="28"/>
        </w:rPr>
        <w:t>Незначительно в 2021 году по сравнению с 2020 годом выросли доли в ВРП: торговли оптовой и розничной, ремонта автотранспортных средств и мотоциклов, а также сельского, лесного хозяйства, охоты, рыболовства и рыбоводства – на 1,3%; обрабатывающих производств - на 0,8%; деятельности административной и сопутствующих дополнительных услуг – на 0,6% и деятельности профессиональной, научной и технической – на 0,2%.</w:t>
      </w:r>
    </w:p>
    <w:p w:rsidR="00023DC7" w:rsidRDefault="00923625">
      <w:pPr>
        <w:ind w:firstLine="709"/>
        <w:jc w:val="both"/>
        <w:rPr>
          <w:sz w:val="28"/>
        </w:rPr>
      </w:pPr>
      <w:r>
        <w:rPr>
          <w:sz w:val="28"/>
        </w:rPr>
        <w:t xml:space="preserve">В 2022 году объем ВРП оценивается в размере 321,9 млрд рублей, что на 1,2% ниже уровня 2021 года в сопоставимых ценах в следствии ухудшения экономической ситуации в регионе, связанной с </w:t>
      </w:r>
      <w:r>
        <w:rPr>
          <w:sz w:val="28"/>
        </w:rPr>
        <w:lastRenderedPageBreak/>
        <w:t>беспрецедентными экономическими санкциями в отношении России, с повышенным ростом инфляции, потерей экспортных рынков.</w:t>
      </w:r>
    </w:p>
    <w:p w:rsidR="00023DC7" w:rsidRDefault="00923625">
      <w:pPr>
        <w:ind w:firstLine="709"/>
        <w:jc w:val="both"/>
        <w:rPr>
          <w:sz w:val="28"/>
        </w:rPr>
      </w:pPr>
      <w:r>
        <w:rPr>
          <w:sz w:val="28"/>
        </w:rPr>
        <w:t>Кроме того, на снижение ВРП в целом повлияло снижение в 2022 году таких основных макропоказателей: объема работ, выполненных по виду деятельности «строительство», на 1,2%, оборота общественного питания – на 13,8% и реальной заработной платы – на 3,2%.</w:t>
      </w:r>
    </w:p>
    <w:p w:rsidR="00023DC7" w:rsidRDefault="00923625">
      <w:pPr>
        <w:ind w:firstLine="709"/>
        <w:jc w:val="both"/>
        <w:rPr>
          <w:sz w:val="28"/>
        </w:rPr>
      </w:pPr>
      <w:r>
        <w:rPr>
          <w:sz w:val="28"/>
        </w:rPr>
        <w:t>В 2023 году рост ВРП возобновится до 100,1% (до 352,2 млрд рублей) с последующим ростом в 2024 – 2026 годах. Рост ВРП до 101,4% прогнозируется в 2024 году и до 102,5% в 2026 году.</w:t>
      </w:r>
    </w:p>
    <w:p w:rsidR="00023DC7" w:rsidRDefault="00923625">
      <w:pPr>
        <w:ind w:firstLine="709"/>
        <w:jc w:val="both"/>
        <w:rPr>
          <w:sz w:val="28"/>
        </w:rPr>
      </w:pPr>
      <w:r>
        <w:rPr>
          <w:sz w:val="28"/>
        </w:rPr>
        <w:t>В 2024 году ВРП прогнозируется на уровне 376,3 млрд рублей, ожидается, что в 2025 году вырастет до 406,8 млрд рублей, в 2026 году ВРП достигнет в абсолютном выражении значения 433,7 млрд рублей.</w:t>
      </w:r>
    </w:p>
    <w:p w:rsidR="00023DC7" w:rsidRDefault="00023DC7">
      <w:pPr>
        <w:ind w:firstLine="709"/>
        <w:jc w:val="both"/>
        <w:rPr>
          <w:sz w:val="28"/>
        </w:rPr>
      </w:pPr>
    </w:p>
    <w:p w:rsidR="00023DC7" w:rsidRDefault="00923625">
      <w:pPr>
        <w:jc w:val="center"/>
        <w:rPr>
          <w:b/>
          <w:sz w:val="28"/>
        </w:rPr>
      </w:pPr>
      <w:r>
        <w:rPr>
          <w:b/>
          <w:sz w:val="28"/>
        </w:rPr>
        <w:t>1.1.2. Промышленное производство</w:t>
      </w:r>
    </w:p>
    <w:p w:rsidR="00023DC7" w:rsidRDefault="00923625">
      <w:pPr>
        <w:ind w:firstLine="709"/>
        <w:jc w:val="both"/>
        <w:rPr>
          <w:sz w:val="28"/>
        </w:rPr>
      </w:pPr>
      <w:r>
        <w:rPr>
          <w:sz w:val="28"/>
        </w:rPr>
        <w:t>По итогам 2022 года объем отгруженной продукции в промышленности составил 302,9 млрд рубле, ИПП – 101,8%.</w:t>
      </w:r>
    </w:p>
    <w:p w:rsidR="00023DC7" w:rsidRDefault="00923625">
      <w:pPr>
        <w:ind w:firstLine="709"/>
        <w:jc w:val="both"/>
        <w:rPr>
          <w:sz w:val="28"/>
        </w:rPr>
      </w:pPr>
      <w:r>
        <w:rPr>
          <w:sz w:val="28"/>
        </w:rPr>
        <w:t>В структуре обрабатывающих производств наибольший удельный вес занимали: производство текстильных изделий и одежды (42,0%), машиностроение (31,3%) и производство пищевых продуктов и напитков (6,1%). Удельный вес этих отраслей составляет 79,4% от общего объема отгруженных товаров обрабатывающих производств.</w:t>
      </w:r>
    </w:p>
    <w:p w:rsidR="00023DC7" w:rsidRDefault="00923625">
      <w:pPr>
        <w:ind w:firstLine="709"/>
        <w:jc w:val="both"/>
        <w:rPr>
          <w:sz w:val="28"/>
        </w:rPr>
      </w:pPr>
      <w:r>
        <w:rPr>
          <w:rStyle w:val="1fa"/>
          <w:sz w:val="28"/>
        </w:rPr>
        <w:t xml:space="preserve">При разработке прогнозных показателей учитывались следствия </w:t>
      </w:r>
      <w:proofErr w:type="spellStart"/>
      <w:r>
        <w:rPr>
          <w:rStyle w:val="1fa"/>
          <w:sz w:val="28"/>
        </w:rPr>
        <w:t>санкционных</w:t>
      </w:r>
      <w:proofErr w:type="spellEnd"/>
      <w:r>
        <w:rPr>
          <w:rStyle w:val="1fa"/>
          <w:sz w:val="28"/>
        </w:rPr>
        <w:t xml:space="preserve"> ограничений в отношении Российской Федерации, а также влияние федеральных и региональных мер поддержки промышленных предприятий и субъектов малого и среднего предпринимательства (далее – субъектов МСП), в условиях введенных ограничительных мер экономического характера.</w:t>
      </w:r>
    </w:p>
    <w:p w:rsidR="00023DC7" w:rsidRDefault="00923625">
      <w:pPr>
        <w:ind w:firstLine="709"/>
        <w:jc w:val="both"/>
        <w:rPr>
          <w:sz w:val="28"/>
        </w:rPr>
      </w:pPr>
      <w:r>
        <w:rPr>
          <w:rStyle w:val="1fa"/>
          <w:sz w:val="28"/>
        </w:rPr>
        <w:t>По итогам 2023 года ожидается рост ИПП 100,1%.</w:t>
      </w:r>
    </w:p>
    <w:p w:rsidR="00023DC7" w:rsidRDefault="00923625">
      <w:pPr>
        <w:ind w:firstLine="709"/>
        <w:jc w:val="both"/>
        <w:rPr>
          <w:sz w:val="28"/>
        </w:rPr>
      </w:pPr>
      <w:r>
        <w:rPr>
          <w:rStyle w:val="1fa"/>
          <w:sz w:val="28"/>
        </w:rPr>
        <w:t>В 2024 году ИПП планируется на уровне 100,9%, в 2025 году – 101,3% и в 2026 году – 101,9%.</w:t>
      </w:r>
    </w:p>
    <w:p w:rsidR="00023DC7" w:rsidRDefault="00923625">
      <w:pPr>
        <w:ind w:firstLine="709"/>
        <w:jc w:val="both"/>
        <w:rPr>
          <w:sz w:val="28"/>
        </w:rPr>
      </w:pPr>
      <w:r>
        <w:rPr>
          <w:rStyle w:val="1fa"/>
          <w:sz w:val="28"/>
        </w:rPr>
        <w:t>ИПП обрабатывающих производств в 2023 году оценивается на уровне 101,5%, в 2024 году ИПП составит 101,1%, к 2026 году вырастет до 102,1%.</w:t>
      </w:r>
    </w:p>
    <w:p w:rsidR="00023DC7" w:rsidRDefault="00923625">
      <w:pPr>
        <w:ind w:firstLine="709"/>
        <w:jc w:val="both"/>
        <w:rPr>
          <w:sz w:val="28"/>
        </w:rPr>
      </w:pPr>
      <w:r>
        <w:rPr>
          <w:rStyle w:val="1fa"/>
          <w:sz w:val="28"/>
        </w:rPr>
        <w:t>В производстве пищевых продуктов по итогам 2023 года ИПП оценивается на уровне 99,1%. Ведущими и стабильно работающими предприятиями по производству пищевых продуктов являются:          ООО «</w:t>
      </w:r>
      <w:proofErr w:type="spellStart"/>
      <w:r>
        <w:rPr>
          <w:rStyle w:val="1fa"/>
          <w:sz w:val="28"/>
        </w:rPr>
        <w:t>ПродМит</w:t>
      </w:r>
      <w:proofErr w:type="spellEnd"/>
      <w:r>
        <w:rPr>
          <w:rStyle w:val="1fa"/>
          <w:sz w:val="28"/>
        </w:rPr>
        <w:t>», ООО «Ивановская птицефабрика», АО «Птицефабрика «Кинешемская», ОАО «</w:t>
      </w:r>
      <w:proofErr w:type="spellStart"/>
      <w:r>
        <w:rPr>
          <w:rStyle w:val="1fa"/>
          <w:sz w:val="28"/>
        </w:rPr>
        <w:t>Аньковское</w:t>
      </w:r>
      <w:proofErr w:type="spellEnd"/>
      <w:r>
        <w:rPr>
          <w:rStyle w:val="1fa"/>
          <w:sz w:val="28"/>
        </w:rPr>
        <w:t xml:space="preserve">», АО «Кинешемский </w:t>
      </w:r>
      <w:proofErr w:type="spellStart"/>
      <w:r>
        <w:rPr>
          <w:rStyle w:val="1fa"/>
          <w:sz w:val="28"/>
        </w:rPr>
        <w:t>хлебокомбинат</w:t>
      </w:r>
      <w:proofErr w:type="spellEnd"/>
      <w:r>
        <w:rPr>
          <w:rStyle w:val="1fa"/>
          <w:sz w:val="28"/>
        </w:rPr>
        <w:t>», ООО «</w:t>
      </w:r>
      <w:proofErr w:type="spellStart"/>
      <w:r>
        <w:rPr>
          <w:rStyle w:val="1fa"/>
          <w:sz w:val="28"/>
        </w:rPr>
        <w:t>Пучежский</w:t>
      </w:r>
      <w:proofErr w:type="spellEnd"/>
      <w:r>
        <w:rPr>
          <w:rStyle w:val="1fa"/>
          <w:sz w:val="28"/>
        </w:rPr>
        <w:t xml:space="preserve"> сыродельный завод»,                     ООО «Славянка» и группа компаний «РИАТ».</w:t>
      </w:r>
    </w:p>
    <w:p w:rsidR="00023DC7" w:rsidRDefault="00923625">
      <w:pPr>
        <w:ind w:firstLine="709"/>
        <w:jc w:val="both"/>
        <w:rPr>
          <w:sz w:val="28"/>
        </w:rPr>
      </w:pPr>
      <w:r>
        <w:rPr>
          <w:rStyle w:val="1fa"/>
          <w:sz w:val="28"/>
        </w:rPr>
        <w:t>В 2024 году ИПП в производстве пищевых продуктов прогнозируется порядка 100,0%, к 2026 году – 100,6%.</w:t>
      </w:r>
    </w:p>
    <w:p w:rsidR="00023DC7" w:rsidRDefault="00923625">
      <w:pPr>
        <w:ind w:firstLine="709"/>
        <w:jc w:val="both"/>
        <w:rPr>
          <w:sz w:val="28"/>
        </w:rPr>
      </w:pPr>
      <w:r>
        <w:rPr>
          <w:rStyle w:val="1fa"/>
          <w:sz w:val="28"/>
        </w:rPr>
        <w:t>В производстве текстильных изделий ИПП по итогам 2023 года оценивается на уровне 105,7%.</w:t>
      </w:r>
    </w:p>
    <w:p w:rsidR="00023DC7" w:rsidRDefault="00923625">
      <w:pPr>
        <w:ind w:firstLine="709"/>
        <w:jc w:val="both"/>
        <w:rPr>
          <w:sz w:val="28"/>
        </w:rPr>
      </w:pPr>
      <w:r>
        <w:rPr>
          <w:rStyle w:val="1fa"/>
          <w:sz w:val="28"/>
        </w:rPr>
        <w:lastRenderedPageBreak/>
        <w:t>В перспективе положительное влияние на развитие отрасли должны оказать меры поддержки, разработанные Правительством Российской Федерации, а именно:</w:t>
      </w:r>
    </w:p>
    <w:p w:rsidR="00023DC7" w:rsidRDefault="00923625">
      <w:pPr>
        <w:ind w:firstLine="709"/>
        <w:jc w:val="both"/>
        <w:rPr>
          <w:sz w:val="28"/>
        </w:rPr>
      </w:pPr>
      <w:r>
        <w:rPr>
          <w:sz w:val="28"/>
        </w:rPr>
        <w:t>предоставление субсидий на стимулирование спроса и повышение конкурентоспособности российской промышленной продукции (до 50% цены приобретения оборудования для предприятий легкой промышленности на условиях франко-завод при предоставлении субсидии в 2020 – 2024 годах) в рамках постановления Правительства Российской Федерации от 27.12.2019 № 1908 «Об утверждении Правил предоставления субсидий из федерального бюджета на стимулирование спроса и повышение конкурентоспособности российской промышленной продукции и признании утратившими силу некоторых актов Правительства Российской Федерации»;</w:t>
      </w:r>
    </w:p>
    <w:p w:rsidR="00023DC7" w:rsidRDefault="00923625">
      <w:pPr>
        <w:ind w:firstLine="709"/>
        <w:jc w:val="both"/>
        <w:rPr>
          <w:sz w:val="28"/>
        </w:rPr>
      </w:pPr>
      <w:r>
        <w:rPr>
          <w:sz w:val="28"/>
        </w:rPr>
        <w:t>предоставление субсидии российским организациям промышленности на возмещение части затрат на обслуживание кредитов, направленных на увеличение объемов реализации продукции и повышение конкурентоспособности российской промышленной продукции в рамках постановление Правительства Российской Федерации от 14.09.2020 № 1426 «Об утверждении Правил предоставления субсидий российским организациям промышленности на возмещение части затрат на обслуживание кредитов, направленных на увеличение объемов реализации продукции и повышение конкурентоспособности российской промышленной продукции».</w:t>
      </w:r>
    </w:p>
    <w:p w:rsidR="00023DC7" w:rsidRDefault="00923625">
      <w:pPr>
        <w:ind w:firstLine="709"/>
        <w:jc w:val="both"/>
        <w:rPr>
          <w:sz w:val="28"/>
        </w:rPr>
      </w:pPr>
      <w:r>
        <w:rPr>
          <w:sz w:val="28"/>
        </w:rPr>
        <w:t>В 2024 году в производстве текстильных изделий ИПП планируется на уровне 101,8%, к 2026 году – 102,7%.</w:t>
      </w:r>
    </w:p>
    <w:p w:rsidR="00023DC7" w:rsidRDefault="00923625">
      <w:pPr>
        <w:ind w:firstLine="709"/>
        <w:jc w:val="both"/>
        <w:rPr>
          <w:sz w:val="28"/>
        </w:rPr>
      </w:pPr>
      <w:r>
        <w:rPr>
          <w:sz w:val="28"/>
        </w:rPr>
        <w:t>Крупнейшими предприятиями региона по производству текстильных изделий являются: ОАО ХБК «Шуйские ситцы», ООО «ТДЛ Текстиль», ООО «</w:t>
      </w:r>
      <w:proofErr w:type="spellStart"/>
      <w:r>
        <w:rPr>
          <w:sz w:val="28"/>
        </w:rPr>
        <w:t>МИРтекс</w:t>
      </w:r>
      <w:proofErr w:type="spellEnd"/>
      <w:r>
        <w:rPr>
          <w:sz w:val="28"/>
        </w:rPr>
        <w:t>», ООО «</w:t>
      </w:r>
      <w:proofErr w:type="spellStart"/>
      <w:r>
        <w:rPr>
          <w:sz w:val="28"/>
        </w:rPr>
        <w:t>Протекс</w:t>
      </w:r>
      <w:proofErr w:type="spellEnd"/>
      <w:r>
        <w:rPr>
          <w:sz w:val="28"/>
        </w:rPr>
        <w:t>», группа компаний «</w:t>
      </w:r>
      <w:proofErr w:type="spellStart"/>
      <w:r>
        <w:rPr>
          <w:sz w:val="28"/>
        </w:rPr>
        <w:t>Нордтекс</w:t>
      </w:r>
      <w:proofErr w:type="spellEnd"/>
      <w:r>
        <w:rPr>
          <w:sz w:val="28"/>
        </w:rPr>
        <w:t>», группа компаний «Русский дом», ООО «</w:t>
      </w:r>
      <w:proofErr w:type="spellStart"/>
      <w:r>
        <w:rPr>
          <w:sz w:val="28"/>
        </w:rPr>
        <w:t>Унтекс</w:t>
      </w:r>
      <w:proofErr w:type="spellEnd"/>
      <w:r>
        <w:rPr>
          <w:sz w:val="28"/>
        </w:rPr>
        <w:t xml:space="preserve"> Родники», ООО «</w:t>
      </w:r>
      <w:proofErr w:type="spellStart"/>
      <w:r>
        <w:rPr>
          <w:sz w:val="28"/>
        </w:rPr>
        <w:t>Дилан</w:t>
      </w:r>
      <w:proofErr w:type="spellEnd"/>
      <w:r>
        <w:rPr>
          <w:sz w:val="28"/>
        </w:rPr>
        <w:t>-Текстиль», ООО «</w:t>
      </w:r>
      <w:proofErr w:type="spellStart"/>
      <w:r>
        <w:rPr>
          <w:sz w:val="28"/>
        </w:rPr>
        <w:t>Ультрастаб</w:t>
      </w:r>
      <w:proofErr w:type="spellEnd"/>
      <w:r>
        <w:rPr>
          <w:sz w:val="28"/>
        </w:rPr>
        <w:t>» и другие.</w:t>
      </w:r>
    </w:p>
    <w:p w:rsidR="00023DC7" w:rsidRDefault="00923625">
      <w:pPr>
        <w:ind w:firstLine="709"/>
        <w:jc w:val="both"/>
        <w:rPr>
          <w:sz w:val="28"/>
        </w:rPr>
      </w:pPr>
      <w:r>
        <w:rPr>
          <w:sz w:val="28"/>
        </w:rPr>
        <w:t>Производство одежды в Ивановской области представлено предприятиями: ООО «Исток-</w:t>
      </w:r>
      <w:proofErr w:type="spellStart"/>
      <w:r>
        <w:rPr>
          <w:sz w:val="28"/>
        </w:rPr>
        <w:t>Пром</w:t>
      </w:r>
      <w:proofErr w:type="spellEnd"/>
      <w:r>
        <w:rPr>
          <w:sz w:val="28"/>
        </w:rPr>
        <w:t>», группа компаний «Бисер», группа компаний «</w:t>
      </w:r>
      <w:proofErr w:type="spellStart"/>
      <w:r>
        <w:rPr>
          <w:sz w:val="28"/>
        </w:rPr>
        <w:t>Валенти</w:t>
      </w:r>
      <w:proofErr w:type="spellEnd"/>
      <w:r>
        <w:rPr>
          <w:sz w:val="28"/>
        </w:rPr>
        <w:t>», ПАО «</w:t>
      </w:r>
      <w:proofErr w:type="spellStart"/>
      <w:r>
        <w:rPr>
          <w:sz w:val="28"/>
        </w:rPr>
        <w:t>Спецтекстиль</w:t>
      </w:r>
      <w:proofErr w:type="spellEnd"/>
      <w:r>
        <w:rPr>
          <w:sz w:val="28"/>
        </w:rPr>
        <w:t>», а также субъектами МСП, специализирующимися на выпуске трикотажных изделий и постельных принадлежностей.</w:t>
      </w:r>
    </w:p>
    <w:p w:rsidR="00023DC7" w:rsidRDefault="00923625">
      <w:pPr>
        <w:ind w:firstLine="709"/>
        <w:jc w:val="both"/>
        <w:rPr>
          <w:sz w:val="28"/>
        </w:rPr>
      </w:pPr>
      <w:r>
        <w:rPr>
          <w:sz w:val="28"/>
        </w:rPr>
        <w:t>По итогам 2023 года ИПП в производстве одежды оценивается на уровне 99,4%. В 2024 году ИПП составит 101,7%, в 2026 году – 102,8%.</w:t>
      </w:r>
    </w:p>
    <w:p w:rsidR="00023DC7" w:rsidRDefault="00923625">
      <w:pPr>
        <w:ind w:firstLine="709"/>
        <w:jc w:val="both"/>
        <w:rPr>
          <w:sz w:val="28"/>
        </w:rPr>
      </w:pPr>
      <w:r>
        <w:rPr>
          <w:sz w:val="28"/>
        </w:rPr>
        <w:t>В обработке древесины и производстве изделий из дерева ИПП в 2023 году оценивается на уровне – 92,9%. В 2024 году ИПП прогнозируется на порядка 98,5%, в 2026 году – 100,3%.</w:t>
      </w:r>
    </w:p>
    <w:p w:rsidR="00023DC7" w:rsidRDefault="00923625">
      <w:pPr>
        <w:ind w:firstLine="709"/>
        <w:jc w:val="both"/>
        <w:rPr>
          <w:sz w:val="28"/>
        </w:rPr>
      </w:pPr>
      <w:r>
        <w:rPr>
          <w:sz w:val="28"/>
        </w:rPr>
        <w:t>Производство продукции по данному виду деятельности на территории региона осуществляют такие крупнейшие предприятия, как ООО «</w:t>
      </w:r>
      <w:proofErr w:type="spellStart"/>
      <w:r>
        <w:rPr>
          <w:sz w:val="28"/>
        </w:rPr>
        <w:t>Эггер</w:t>
      </w:r>
      <w:proofErr w:type="spellEnd"/>
      <w:r>
        <w:rPr>
          <w:sz w:val="28"/>
        </w:rPr>
        <w:t xml:space="preserve"> </w:t>
      </w:r>
      <w:proofErr w:type="spellStart"/>
      <w:r>
        <w:rPr>
          <w:sz w:val="28"/>
        </w:rPr>
        <w:t>Древпродукт</w:t>
      </w:r>
      <w:proofErr w:type="spellEnd"/>
      <w:r>
        <w:rPr>
          <w:sz w:val="28"/>
        </w:rPr>
        <w:t xml:space="preserve"> Шуя» и ООО «Ивановская лесопромышленная компания».</w:t>
      </w:r>
    </w:p>
    <w:p w:rsidR="00023DC7" w:rsidRDefault="00923625">
      <w:pPr>
        <w:ind w:firstLine="709"/>
        <w:jc w:val="both"/>
        <w:rPr>
          <w:sz w:val="28"/>
        </w:rPr>
      </w:pPr>
      <w:r>
        <w:rPr>
          <w:sz w:val="28"/>
        </w:rPr>
        <w:lastRenderedPageBreak/>
        <w:t>Химический комплекс относится к сектору промежуточного спроса, развитие которого в среднесрочной перспективе ожидается умеренными темпами. Ведущими предприятиями по производству химических веществ и химических продуктов в регионе являются АО «</w:t>
      </w:r>
      <w:proofErr w:type="spellStart"/>
      <w:r>
        <w:rPr>
          <w:sz w:val="28"/>
        </w:rPr>
        <w:t>Ивхимпром</w:t>
      </w:r>
      <w:proofErr w:type="spellEnd"/>
      <w:r>
        <w:rPr>
          <w:sz w:val="28"/>
        </w:rPr>
        <w:t xml:space="preserve">»,                      АО «Ивановский </w:t>
      </w:r>
      <w:proofErr w:type="spellStart"/>
      <w:r>
        <w:rPr>
          <w:sz w:val="28"/>
        </w:rPr>
        <w:t>техуглерод</w:t>
      </w:r>
      <w:proofErr w:type="spellEnd"/>
      <w:r>
        <w:rPr>
          <w:sz w:val="28"/>
        </w:rPr>
        <w:t xml:space="preserve"> и резина», ООО «Дмитриевский химический завод».</w:t>
      </w:r>
    </w:p>
    <w:p w:rsidR="00023DC7" w:rsidRDefault="00923625">
      <w:pPr>
        <w:ind w:firstLine="709"/>
        <w:jc w:val="both"/>
        <w:rPr>
          <w:sz w:val="28"/>
        </w:rPr>
      </w:pPr>
      <w:r>
        <w:rPr>
          <w:sz w:val="28"/>
        </w:rPr>
        <w:t>В 2023 году ИПП в химической промышленности ожидается порядка 100,2%, в 2024 году ИПП составит 100,4%, в 2026 году – 101,0%.</w:t>
      </w:r>
    </w:p>
    <w:p w:rsidR="00023DC7" w:rsidRDefault="00923625">
      <w:pPr>
        <w:ind w:firstLine="709"/>
        <w:jc w:val="both"/>
        <w:rPr>
          <w:sz w:val="28"/>
        </w:rPr>
      </w:pPr>
      <w:r>
        <w:rPr>
          <w:sz w:val="28"/>
        </w:rPr>
        <w:t>В производстве резиновых и пластмассовых изделий ИПП в 2023 году оценивается на уровне 102,1%, в 2024 году ИПП прогнозируется в размере 100,5%, в 2026 году – 102,0%. Рост производства в перспективе будет связан со стабильной работой предприятий ООО «</w:t>
      </w:r>
      <w:proofErr w:type="spellStart"/>
      <w:r>
        <w:rPr>
          <w:sz w:val="28"/>
        </w:rPr>
        <w:t>Стандартпласт</w:t>
      </w:r>
      <w:proofErr w:type="spellEnd"/>
      <w:r>
        <w:rPr>
          <w:sz w:val="28"/>
        </w:rPr>
        <w:t>»,                      ООО «Штандарт».</w:t>
      </w:r>
    </w:p>
    <w:p w:rsidR="00023DC7" w:rsidRDefault="00923625">
      <w:pPr>
        <w:ind w:firstLine="709"/>
        <w:jc w:val="both"/>
        <w:rPr>
          <w:sz w:val="28"/>
        </w:rPr>
      </w:pPr>
      <w:r>
        <w:rPr>
          <w:sz w:val="28"/>
        </w:rPr>
        <w:t>К концу 2023 года в металлургическом производстве ИПП оценивается в размере 101,0%. В 2024 году ИПП составит 101,3%, в 2026 году – 102,6%. Ведущим предприятием по данному виду деятельности является ООО «Верхневолжский СМЦ» (ДИПОС).</w:t>
      </w:r>
    </w:p>
    <w:p w:rsidR="00023DC7" w:rsidRDefault="00923625">
      <w:pPr>
        <w:ind w:firstLine="709"/>
        <w:jc w:val="both"/>
        <w:rPr>
          <w:sz w:val="28"/>
        </w:rPr>
      </w:pPr>
      <w:r>
        <w:rPr>
          <w:sz w:val="28"/>
        </w:rPr>
        <w:t>В производстве готовых металлических изделий в 2023 году ИПП оценивается на уровне 98,6%. На территории области деятельность по производству готовых металлических изделий осуществляют:             ООО «</w:t>
      </w:r>
      <w:proofErr w:type="spellStart"/>
      <w:r>
        <w:rPr>
          <w:sz w:val="28"/>
        </w:rPr>
        <w:t>Билдэкс</w:t>
      </w:r>
      <w:proofErr w:type="spellEnd"/>
      <w:r>
        <w:rPr>
          <w:sz w:val="28"/>
        </w:rPr>
        <w:t>», ООО «МСГ», группа компаний «</w:t>
      </w:r>
      <w:proofErr w:type="spellStart"/>
      <w:r>
        <w:rPr>
          <w:sz w:val="28"/>
        </w:rPr>
        <w:t>Кранэкс</w:t>
      </w:r>
      <w:proofErr w:type="spellEnd"/>
      <w:r>
        <w:rPr>
          <w:sz w:val="28"/>
        </w:rPr>
        <w:t>» и ООО «</w:t>
      </w:r>
      <w:proofErr w:type="spellStart"/>
      <w:r>
        <w:rPr>
          <w:sz w:val="28"/>
        </w:rPr>
        <w:t>Черметснаб</w:t>
      </w:r>
      <w:proofErr w:type="spellEnd"/>
      <w:r>
        <w:rPr>
          <w:sz w:val="28"/>
        </w:rPr>
        <w:t>». В прогнозируемом периоде развитие производства готовых металлических изделий в 2024 году ИПП прогнозируется в размере 100,0%, в 2026 году – 101,0%.</w:t>
      </w:r>
    </w:p>
    <w:p w:rsidR="00023DC7" w:rsidRDefault="00923625">
      <w:pPr>
        <w:ind w:firstLine="709"/>
        <w:jc w:val="both"/>
        <w:rPr>
          <w:sz w:val="28"/>
        </w:rPr>
      </w:pPr>
      <w:r>
        <w:rPr>
          <w:sz w:val="28"/>
        </w:rPr>
        <w:t>В производстве машин и оборудования в 2023 году ИПП ожидается порядка 100,0%. В 2024 году ИПП составит – 100,5%, в 2026 году – 101,7%. Данный рост будет обеспечен при условии стабильной работы предприятий ООО «Профессионал», ООО «</w:t>
      </w:r>
      <w:proofErr w:type="spellStart"/>
      <w:r>
        <w:rPr>
          <w:sz w:val="28"/>
        </w:rPr>
        <w:t>РешкеРус</w:t>
      </w:r>
      <w:proofErr w:type="spellEnd"/>
      <w:r>
        <w:rPr>
          <w:sz w:val="28"/>
        </w:rPr>
        <w:t>» и                      ООО «Ивановский станкостроительный завод».</w:t>
      </w:r>
    </w:p>
    <w:p w:rsidR="00023DC7" w:rsidRDefault="00923625">
      <w:pPr>
        <w:ind w:firstLine="709"/>
        <w:jc w:val="both"/>
        <w:rPr>
          <w:sz w:val="28"/>
        </w:rPr>
      </w:pPr>
      <w:r>
        <w:rPr>
          <w:sz w:val="28"/>
        </w:rPr>
        <w:t>В производстве автотранспортных средств, прицепов, полуприцепов в 2023 году ИПП оценивается на уровне 100,0%. В прогнозируемом периоде развитие производства автотранспортных средств, прицепов, полуприцепов прогнозируется на уровне 100,3% в 2024 году и до 101,4% - в 2026 году.</w:t>
      </w:r>
    </w:p>
    <w:p w:rsidR="00023DC7" w:rsidRDefault="00923625">
      <w:pPr>
        <w:ind w:firstLine="709"/>
        <w:jc w:val="both"/>
        <w:rPr>
          <w:sz w:val="28"/>
        </w:rPr>
      </w:pPr>
      <w:r>
        <w:rPr>
          <w:sz w:val="28"/>
        </w:rPr>
        <w:t>В 2023 году ИПП по обеспечению электрической энергией, газом и паром; кондиционированию воздуха ожидается на уровне 86,7%. В 2024 году ИПП прогнозируется 98,9%, в 2026 году – 100,3%.</w:t>
      </w:r>
    </w:p>
    <w:p w:rsidR="00023DC7" w:rsidRDefault="00923625">
      <w:pPr>
        <w:ind w:firstLine="709"/>
        <w:jc w:val="both"/>
        <w:rPr>
          <w:sz w:val="28"/>
        </w:rPr>
      </w:pPr>
      <w:r>
        <w:rPr>
          <w:sz w:val="28"/>
        </w:rPr>
        <w:t>В 2023 году ИПП по водоснабжению, водоотведению, организации сбора и утилизации отходов, деятельности по ликвидации загрязнений оценивается порядка 97,9%, в прогнозируемом периоде от 100,0% в 2024 году до 100,4% - в 2026 году.</w:t>
      </w:r>
    </w:p>
    <w:p w:rsidR="00023DC7" w:rsidRDefault="00923625">
      <w:pPr>
        <w:ind w:firstLine="709"/>
        <w:jc w:val="both"/>
        <w:rPr>
          <w:sz w:val="28"/>
        </w:rPr>
      </w:pPr>
      <w:r>
        <w:rPr>
          <w:sz w:val="28"/>
        </w:rPr>
        <w:t>Объем отгруженной продукции в промышленности вырастет с 2023 года, по оценке, с 321,9 млрд рублей до 342,5 млрд рублей в 2024 году и до 389,4 млрд рублей к 2026 году.</w:t>
      </w:r>
    </w:p>
    <w:p w:rsidR="00023DC7" w:rsidRDefault="00023DC7">
      <w:pPr>
        <w:ind w:firstLine="709"/>
        <w:jc w:val="both"/>
        <w:rPr>
          <w:sz w:val="28"/>
        </w:rPr>
      </w:pPr>
    </w:p>
    <w:p w:rsidR="00023DC7" w:rsidRDefault="00923625">
      <w:pPr>
        <w:jc w:val="center"/>
        <w:rPr>
          <w:b/>
          <w:sz w:val="28"/>
        </w:rPr>
      </w:pPr>
      <w:r>
        <w:rPr>
          <w:b/>
          <w:sz w:val="28"/>
        </w:rPr>
        <w:t>1.1.3. Сельское хозяйство</w:t>
      </w:r>
    </w:p>
    <w:p w:rsidR="00023DC7" w:rsidRDefault="00923625">
      <w:pPr>
        <w:ind w:firstLine="709"/>
        <w:jc w:val="both"/>
        <w:rPr>
          <w:sz w:val="28"/>
        </w:rPr>
      </w:pPr>
      <w:r>
        <w:rPr>
          <w:sz w:val="28"/>
        </w:rPr>
        <w:t>Объем производства продукции сельского хозяйства в хозяйствах всех категорий в 2022 году по предварительным данным составил        23,9 млрд рублей, или 100,9% к уровню 2021 года в сопоставимых ценах. Индекс производства продукции растениеводства составил 98,5%, продукции животноводства – 102,5%.</w:t>
      </w:r>
    </w:p>
    <w:p w:rsidR="00023DC7" w:rsidRDefault="00923625">
      <w:pPr>
        <w:ind w:firstLine="709"/>
        <w:jc w:val="both"/>
        <w:rPr>
          <w:sz w:val="28"/>
        </w:rPr>
      </w:pPr>
      <w:r>
        <w:rPr>
          <w:sz w:val="28"/>
        </w:rPr>
        <w:t>Положительная динамика в животноводстве обеспечена наращиванием в 2022 году в хозяйствах всех категорий объемов производства (реализации) скота и птицы на убой в живом весе (основной рост объемов реализации мяса достигнут в свиноводстве за счет выхода на полные производственные мощности двух крупных свиноводческих комплексов ООО «</w:t>
      </w:r>
      <w:proofErr w:type="spellStart"/>
      <w:r>
        <w:rPr>
          <w:sz w:val="28"/>
        </w:rPr>
        <w:t>Тарбаево</w:t>
      </w:r>
      <w:proofErr w:type="spellEnd"/>
      <w:r>
        <w:rPr>
          <w:sz w:val="28"/>
        </w:rPr>
        <w:t>»), отмечается прирост производства молока в</w:t>
      </w:r>
      <w:r>
        <w:t xml:space="preserve"> </w:t>
      </w:r>
      <w:r>
        <w:rPr>
          <w:sz w:val="28"/>
        </w:rPr>
        <w:t>хозяйствах всех категорий за счет увеличения продуктивности</w:t>
      </w:r>
      <w:r>
        <w:t xml:space="preserve"> </w:t>
      </w:r>
      <w:r>
        <w:rPr>
          <w:sz w:val="28"/>
        </w:rPr>
        <w:t xml:space="preserve">дойного стада в </w:t>
      </w:r>
      <w:proofErr w:type="spellStart"/>
      <w:r>
        <w:rPr>
          <w:sz w:val="28"/>
        </w:rPr>
        <w:t>сельхозорганизациях</w:t>
      </w:r>
      <w:proofErr w:type="spellEnd"/>
      <w:r>
        <w:rPr>
          <w:sz w:val="28"/>
        </w:rPr>
        <w:t>.</w:t>
      </w:r>
    </w:p>
    <w:p w:rsidR="00023DC7" w:rsidRDefault="00923625">
      <w:pPr>
        <w:ind w:firstLine="709"/>
        <w:jc w:val="both"/>
        <w:rPr>
          <w:sz w:val="28"/>
        </w:rPr>
      </w:pPr>
      <w:r>
        <w:rPr>
          <w:sz w:val="28"/>
        </w:rPr>
        <w:t>В 2023 году производство продукции сельского хозяйства в целом по области ожидается в объеме 24,8 млрд рублей, или 102,5% к уровню 2022 года в сопоставимых ценах. Прогнозируемые показатели развития сельскохозяйственного производства соответствуют государственной программе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 451-п.</w:t>
      </w:r>
    </w:p>
    <w:p w:rsidR="00023DC7" w:rsidRDefault="00923625">
      <w:pPr>
        <w:ind w:firstLine="709"/>
        <w:jc w:val="both"/>
        <w:rPr>
          <w:sz w:val="28"/>
        </w:rPr>
      </w:pPr>
      <w:r>
        <w:rPr>
          <w:sz w:val="28"/>
        </w:rPr>
        <w:t>Росту производства продукции растениеводства будет способствовать увеличение посевных площадей основных сельскохозяйственных культур, ввод в оборот неиспользуемых земель сельскохозяйственного назначения, а также применение ресурсосберегающих технологий.</w:t>
      </w:r>
    </w:p>
    <w:p w:rsidR="00023DC7" w:rsidRDefault="00923625">
      <w:pPr>
        <w:ind w:firstLine="709"/>
        <w:jc w:val="both"/>
        <w:rPr>
          <w:sz w:val="28"/>
        </w:rPr>
      </w:pPr>
      <w:r>
        <w:rPr>
          <w:sz w:val="28"/>
        </w:rPr>
        <w:t xml:space="preserve">Росту объемов производства продукции животноводства будет способствовать выход на полную производственную мощность инвестиционных проектов в молочном скотоводстве: СПК «Рассвет» </w:t>
      </w:r>
      <w:proofErr w:type="spellStart"/>
      <w:r>
        <w:rPr>
          <w:sz w:val="28"/>
        </w:rPr>
        <w:t>Гаврилово</w:t>
      </w:r>
      <w:proofErr w:type="spellEnd"/>
      <w:r>
        <w:rPr>
          <w:sz w:val="28"/>
        </w:rPr>
        <w:t xml:space="preserve">-Посадского муниципального района, СПК Племенной завод «Ленинский путь» </w:t>
      </w:r>
      <w:proofErr w:type="spellStart"/>
      <w:r>
        <w:rPr>
          <w:sz w:val="28"/>
        </w:rPr>
        <w:t>Пучежского</w:t>
      </w:r>
      <w:proofErr w:type="spellEnd"/>
      <w:r>
        <w:rPr>
          <w:sz w:val="28"/>
        </w:rPr>
        <w:t xml:space="preserve"> муниципального района, ИП Глава крестьянского (фермерского) хозяйства Нагаев С.А. Родниковского муниципального района.</w:t>
      </w:r>
    </w:p>
    <w:p w:rsidR="00023DC7" w:rsidRDefault="00923625">
      <w:pPr>
        <w:ind w:firstLine="709"/>
        <w:jc w:val="both"/>
        <w:rPr>
          <w:sz w:val="28"/>
        </w:rPr>
      </w:pPr>
      <w:r>
        <w:rPr>
          <w:sz w:val="28"/>
        </w:rPr>
        <w:t>В 2024 году объем производства продукции сельского хозяйства составит 26,6 млрд рублей с ростом к уровню 2023 года на 2,6% в сопоставимых ценах.</w:t>
      </w:r>
    </w:p>
    <w:p w:rsidR="00023DC7" w:rsidRDefault="00923625">
      <w:pPr>
        <w:ind w:firstLine="709"/>
        <w:jc w:val="both"/>
        <w:rPr>
          <w:sz w:val="28"/>
        </w:rPr>
      </w:pPr>
      <w:r>
        <w:rPr>
          <w:sz w:val="28"/>
        </w:rPr>
        <w:t>В перспективе объем производства продукции сельского хозяйства в хозяйствах всех категорий увеличится с 28,5 млрд рублей в 2025 году до 30 млрд рублей – в 2026 году, рост в сопоставимых ценах прогнозируется в 2025 году на уровне 2,8%, в 2026 году – на уровне 1% в сопоставимых ценах.</w:t>
      </w:r>
    </w:p>
    <w:p w:rsidR="00023DC7" w:rsidRDefault="00923625">
      <w:pPr>
        <w:ind w:firstLine="709"/>
        <w:jc w:val="both"/>
        <w:rPr>
          <w:sz w:val="28"/>
        </w:rPr>
      </w:pPr>
      <w:r>
        <w:rPr>
          <w:sz w:val="28"/>
        </w:rPr>
        <w:t>Задачами на ближайшую перспективу являются:</w:t>
      </w:r>
    </w:p>
    <w:p w:rsidR="00023DC7" w:rsidRDefault="00923625">
      <w:pPr>
        <w:ind w:firstLine="709"/>
        <w:jc w:val="both"/>
        <w:rPr>
          <w:sz w:val="28"/>
        </w:rPr>
      </w:pPr>
      <w:r>
        <w:rPr>
          <w:sz w:val="28"/>
        </w:rPr>
        <w:lastRenderedPageBreak/>
        <w:t>достижение целей, задач и ожидаемых результатов реализации государственной программы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 451-п, обеспечение финансирования её мероприятий в полном объеме и в установленные сроки;</w:t>
      </w:r>
    </w:p>
    <w:p w:rsidR="00023DC7" w:rsidRDefault="00923625">
      <w:pPr>
        <w:ind w:firstLine="709"/>
        <w:jc w:val="both"/>
        <w:rPr>
          <w:sz w:val="28"/>
        </w:rPr>
      </w:pPr>
      <w:r>
        <w:rPr>
          <w:sz w:val="28"/>
        </w:rPr>
        <w:t>ввод в оборот неиспользуемых земель сельскохозяйственного назначения;</w:t>
      </w:r>
    </w:p>
    <w:p w:rsidR="00023DC7" w:rsidRDefault="00923625">
      <w:pPr>
        <w:ind w:firstLine="709"/>
        <w:jc w:val="both"/>
        <w:rPr>
          <w:sz w:val="28"/>
        </w:rPr>
      </w:pPr>
      <w:r>
        <w:rPr>
          <w:sz w:val="28"/>
        </w:rPr>
        <w:t>обеспечение продовольственного рынка региона основными сельскохозяйственными товарами собственного производства, увеличение доли продукции местных производителей в торговых сетях;</w:t>
      </w:r>
    </w:p>
    <w:p w:rsidR="00023DC7" w:rsidRDefault="00923625">
      <w:pPr>
        <w:ind w:firstLine="709"/>
        <w:jc w:val="both"/>
        <w:rPr>
          <w:sz w:val="28"/>
        </w:rPr>
      </w:pPr>
      <w:r>
        <w:rPr>
          <w:sz w:val="28"/>
        </w:rPr>
        <w:t>увеличение объемов производства за счет модернизации и технического переоснащения сельскохозяйственного производства;</w:t>
      </w:r>
    </w:p>
    <w:p w:rsidR="00023DC7" w:rsidRDefault="00923625">
      <w:pPr>
        <w:ind w:firstLine="709"/>
        <w:jc w:val="both"/>
        <w:rPr>
          <w:sz w:val="28"/>
        </w:rPr>
      </w:pPr>
      <w:r>
        <w:rPr>
          <w:sz w:val="28"/>
        </w:rPr>
        <w:t>реализация инвестиционных проектов.</w:t>
      </w:r>
    </w:p>
    <w:p w:rsidR="00023DC7" w:rsidRDefault="00023DC7">
      <w:pPr>
        <w:ind w:firstLine="709"/>
        <w:jc w:val="both"/>
        <w:rPr>
          <w:sz w:val="28"/>
        </w:rPr>
      </w:pPr>
    </w:p>
    <w:p w:rsidR="00023DC7" w:rsidRDefault="00923625">
      <w:pPr>
        <w:jc w:val="center"/>
        <w:rPr>
          <w:b/>
          <w:sz w:val="28"/>
        </w:rPr>
      </w:pPr>
      <w:r>
        <w:rPr>
          <w:b/>
          <w:sz w:val="28"/>
        </w:rPr>
        <w:t>1.1.4. Рынок товаров и услуг</w:t>
      </w:r>
    </w:p>
    <w:p w:rsidR="00023DC7" w:rsidRDefault="00923625">
      <w:pPr>
        <w:ind w:firstLine="720"/>
        <w:jc w:val="both"/>
        <w:rPr>
          <w:sz w:val="28"/>
        </w:rPr>
      </w:pPr>
      <w:r>
        <w:rPr>
          <w:sz w:val="28"/>
        </w:rPr>
        <w:t>В 2022 году среднегодовой индекс потребительских цен (далее - ИПЦ) составил 116,0%. За декабрь 2022 года к декабрю 2021 года ИПЦ вырос на 12,7%, на непродовольственные товары – на 15,2%, на услуги – на 13,9% и на продовольственную группу товаров – на 9,7%.</w:t>
      </w:r>
    </w:p>
    <w:p w:rsidR="00023DC7" w:rsidRDefault="00923625">
      <w:pPr>
        <w:ind w:firstLine="720"/>
        <w:jc w:val="both"/>
        <w:rPr>
          <w:sz w:val="28"/>
        </w:rPr>
      </w:pPr>
      <w:r>
        <w:rPr>
          <w:sz w:val="28"/>
        </w:rPr>
        <w:t>За январь – май 2023 года по сравнению с январем – маем 2022 года цены выросли в среднем на 5,7%, в том числе цены на продовольственные товары выросли на 2,8%, на непродовольственные товары – на 4,7% и на услуги – на 12,7%. В 2023 году среднегодовой ИПЦ оценивается на уровне 105,1%. В текущем году продолжится реализация мер по стабилизации денежно-кредитной политики, что в среднесрочной перспективе будет способствовать замедлению роста потребительских цен. При прогнозировании ИПЦ учитывался рост цен за 5 месяцев 2023 года, как на продовольственные товары, так и на услуги, а также на товары непродовольственной группы. В декабре 2023 года ожидается рост инфляции до 103,5% к декабрю 2022 года.</w:t>
      </w:r>
    </w:p>
    <w:p w:rsidR="00023DC7" w:rsidRDefault="00923625">
      <w:pPr>
        <w:ind w:firstLine="720"/>
        <w:jc w:val="both"/>
        <w:rPr>
          <w:sz w:val="28"/>
        </w:rPr>
      </w:pPr>
      <w:r>
        <w:rPr>
          <w:sz w:val="28"/>
        </w:rPr>
        <w:t>В декабре 2024 года к декабрю 2023 года ИПЦ прогнозируется 105,3%, в конце 2025 года – 105,0% и в декабре 2026 года к декабрю 2025 года – 104,7%.</w:t>
      </w:r>
    </w:p>
    <w:p w:rsidR="00023DC7" w:rsidRDefault="00923625">
      <w:pPr>
        <w:ind w:firstLine="720"/>
        <w:jc w:val="both"/>
        <w:rPr>
          <w:sz w:val="28"/>
        </w:rPr>
      </w:pPr>
      <w:r>
        <w:rPr>
          <w:sz w:val="28"/>
        </w:rPr>
        <w:t>На рост цен наибольшее влияние оказывает рост заработной платы и связанный с ним рост покупательской способности населения.</w:t>
      </w:r>
    </w:p>
    <w:p w:rsidR="00023DC7" w:rsidRDefault="00923625">
      <w:pPr>
        <w:ind w:firstLine="720"/>
        <w:jc w:val="both"/>
        <w:rPr>
          <w:sz w:val="28"/>
        </w:rPr>
      </w:pPr>
      <w:r>
        <w:rPr>
          <w:sz w:val="28"/>
        </w:rPr>
        <w:t>В 2024 - 2026 годах цены в среднем за год будут расти следующими темпами: в 2024 году прогнозируется 105,2%, в 2025 году – 104,8% и в 2026 году – 104,5%.</w:t>
      </w:r>
    </w:p>
    <w:p w:rsidR="00023DC7" w:rsidRDefault="00923625">
      <w:pPr>
        <w:ind w:firstLine="720"/>
        <w:jc w:val="both"/>
        <w:rPr>
          <w:sz w:val="28"/>
        </w:rPr>
      </w:pPr>
      <w:r>
        <w:rPr>
          <w:sz w:val="28"/>
        </w:rPr>
        <w:t xml:space="preserve">Оборот розничной торговли за 2022 год вырос на 1,5% в сопоставимых ценах и составил 245,6 млрд рублей. Рост показателя связан с ростом продаж по сравнению с 2021 годом продовольственных товаров на 5,1%, продажи непродовольственных товаров снизились на 2,5%. Доля </w:t>
      </w:r>
      <w:r>
        <w:rPr>
          <w:sz w:val="28"/>
        </w:rPr>
        <w:lastRenderedPageBreak/>
        <w:t>продовольственной группы товаров в структуре оборота розничной торговли за 2022 год превышала долю непродовольственных товаров на 6,4% и составляла 53,2%, по итогам пяти месяцев 2023 года доля продовольственных товаров в структуре оборота розничной торговли превысила долю непродовольственных товаров на 8,6% и составляла 54,3%.</w:t>
      </w:r>
    </w:p>
    <w:p w:rsidR="00023DC7" w:rsidRDefault="00923625">
      <w:pPr>
        <w:ind w:firstLine="720"/>
        <w:jc w:val="both"/>
        <w:rPr>
          <w:sz w:val="28"/>
        </w:rPr>
      </w:pPr>
      <w:r>
        <w:rPr>
          <w:sz w:val="28"/>
        </w:rPr>
        <w:t xml:space="preserve">По итогам 2023 года, по оценке, розничный товарооборот вырастет на 3,5% в сопоставимых ценах по сравнению с 2022 годом и составит порядка 267,7 млрд рублей. В 2023 году организации розничной торговли Ивановской области представлены сетевыми магазинами ведущих федеральных </w:t>
      </w:r>
      <w:proofErr w:type="spellStart"/>
      <w:r>
        <w:rPr>
          <w:sz w:val="28"/>
        </w:rPr>
        <w:t>ритейлеров</w:t>
      </w:r>
      <w:proofErr w:type="spellEnd"/>
      <w:r>
        <w:rPr>
          <w:sz w:val="28"/>
        </w:rPr>
        <w:t>: «Магнит», «Пятерочка», «Высшая Лига», «О′КЕЙ», «ДИКСИ», «АШАН», «Лента», «Метро Кэш энд Керри», «</w:t>
      </w:r>
      <w:proofErr w:type="spellStart"/>
      <w:r>
        <w:rPr>
          <w:sz w:val="28"/>
        </w:rPr>
        <w:t>Спар</w:t>
      </w:r>
      <w:proofErr w:type="spellEnd"/>
      <w:r>
        <w:rPr>
          <w:sz w:val="28"/>
        </w:rPr>
        <w:t>», «</w:t>
      </w:r>
      <w:proofErr w:type="spellStart"/>
      <w:r>
        <w:rPr>
          <w:sz w:val="28"/>
        </w:rPr>
        <w:t>Вкусвилл</w:t>
      </w:r>
      <w:proofErr w:type="spellEnd"/>
      <w:r>
        <w:rPr>
          <w:sz w:val="28"/>
        </w:rPr>
        <w:t>», «Адмирал», «Перекресток» и «Светофор» и региональными: «РИАТ», «Торговая Лига», «</w:t>
      </w:r>
      <w:proofErr w:type="spellStart"/>
      <w:r>
        <w:rPr>
          <w:sz w:val="28"/>
        </w:rPr>
        <w:t>Сабиново</w:t>
      </w:r>
      <w:proofErr w:type="spellEnd"/>
      <w:r>
        <w:rPr>
          <w:sz w:val="28"/>
        </w:rPr>
        <w:t>», «Домашний», «</w:t>
      </w:r>
      <w:proofErr w:type="spellStart"/>
      <w:r>
        <w:rPr>
          <w:sz w:val="28"/>
        </w:rPr>
        <w:t>Главмаг</w:t>
      </w:r>
      <w:proofErr w:type="spellEnd"/>
      <w:r>
        <w:rPr>
          <w:sz w:val="28"/>
        </w:rPr>
        <w:t>» (г. Шуя»).</w:t>
      </w:r>
    </w:p>
    <w:p w:rsidR="00023DC7" w:rsidRDefault="00923625">
      <w:pPr>
        <w:ind w:firstLine="720"/>
        <w:jc w:val="both"/>
        <w:rPr>
          <w:sz w:val="28"/>
        </w:rPr>
      </w:pPr>
      <w:r>
        <w:rPr>
          <w:sz w:val="28"/>
        </w:rPr>
        <w:t>В 2024 году оборот розничной торговли составит  292,5 млрд рублей, к 2026 году вырастет до  344,1 млрд рублей.</w:t>
      </w:r>
    </w:p>
    <w:p w:rsidR="00023DC7" w:rsidRDefault="00923625">
      <w:pPr>
        <w:ind w:firstLine="720"/>
        <w:jc w:val="both"/>
        <w:rPr>
          <w:sz w:val="28"/>
        </w:rPr>
      </w:pPr>
      <w:r>
        <w:rPr>
          <w:sz w:val="28"/>
        </w:rPr>
        <w:t>По расчётам темпы роста к предыдущему году в сопоставимых ценах составят: в 2024 году – 102,6%, в 2025 году – 102,9% и в 2026 году – 103,5%.</w:t>
      </w:r>
    </w:p>
    <w:p w:rsidR="00023DC7" w:rsidRDefault="00923625">
      <w:pPr>
        <w:ind w:firstLine="720"/>
        <w:jc w:val="both"/>
        <w:rPr>
          <w:sz w:val="28"/>
        </w:rPr>
      </w:pPr>
      <w:r>
        <w:rPr>
          <w:sz w:val="28"/>
        </w:rPr>
        <w:t>В 2022 году объём платных услуг, оказанных населению Ивановской области, составлял 52,0 млрд рублей, что в сопоставимых ценах выше уровня 2021 года на 3,4%. Рост показателя был связан с увеличением индекса физического объема по большинству видов услуг, кроме телекоммуникационных (снижение на 15,2%) и</w:t>
      </w:r>
      <w:r>
        <w:rPr>
          <w:rStyle w:val="19"/>
          <w:sz w:val="28"/>
        </w:rPr>
        <w:t xml:space="preserve"> </w:t>
      </w:r>
      <w:r>
        <w:rPr>
          <w:sz w:val="28"/>
        </w:rPr>
        <w:t>ветеринарных (на 0,3%).</w:t>
      </w:r>
    </w:p>
    <w:p w:rsidR="00023DC7" w:rsidRDefault="00923625">
      <w:pPr>
        <w:ind w:firstLine="720"/>
        <w:jc w:val="both"/>
        <w:rPr>
          <w:sz w:val="28"/>
        </w:rPr>
      </w:pPr>
      <w:r>
        <w:rPr>
          <w:sz w:val="28"/>
        </w:rPr>
        <w:t>Наибольший рост произошел по таким видам платных услуг, как: услуги гостиниц и аналогичные услуги по предоставлению временного жилья – на 45,1%; услуги специализированных коллективных средств размещения – на 32,7%; услуги туристических агентств, туроператоров и прочие услуги по бронированию и сопутствующие им услуги – на 31,4%; услуги учреждений культуры – на 25,3%; услуги физической культуры и спорта – на 23,3%.</w:t>
      </w:r>
    </w:p>
    <w:p w:rsidR="00023DC7" w:rsidRDefault="00923625">
      <w:pPr>
        <w:ind w:firstLine="720"/>
        <w:jc w:val="both"/>
        <w:rPr>
          <w:sz w:val="28"/>
        </w:rPr>
      </w:pPr>
      <w:r>
        <w:rPr>
          <w:sz w:val="28"/>
        </w:rPr>
        <w:t>Основная доля в объеме платных услуг по-прежнему приходилась на услуги «обязательного» характера (коммунальные – 30,9%, бытовые – 12,1%, телекоммуникационные – 12,0%, транспортные – 9,1%, жилищные – 9,0%, медицинские – 8,6% и системы образования – 5,8%).</w:t>
      </w:r>
    </w:p>
    <w:p w:rsidR="00023DC7" w:rsidRDefault="00923625">
      <w:pPr>
        <w:ind w:firstLine="720"/>
        <w:jc w:val="both"/>
        <w:rPr>
          <w:sz w:val="28"/>
        </w:rPr>
      </w:pPr>
      <w:r>
        <w:rPr>
          <w:sz w:val="28"/>
        </w:rPr>
        <w:t>По оценке, в 2023 году объем платных услуг в сопоставимых ценах вырастет на 1,7% до 59,7 млрд рублей к уровню 2022 года. В 2024 - 2026 годах структура платных услуг существенно не изменится. По-прежнему, в ней будут преобладать коммунальные услуги, бытовые, транспортные услуги и жилищные. Прогнозируется, что в период с 2024 до 2026 года объем платных услуг, оказанных населению Ивановской области, вырастет с 64,8 млрд рублей до 74,9 млрд рублей. Темпы роста к предыдущему году в сопоставимых ценах составят: в 2024 году – 102,3%, в 2025 году – 102,4% и в 2026 году – 102,5%.</w:t>
      </w:r>
    </w:p>
    <w:p w:rsidR="00023DC7" w:rsidRDefault="00023DC7">
      <w:pPr>
        <w:ind w:firstLine="720"/>
        <w:jc w:val="both"/>
        <w:rPr>
          <w:sz w:val="28"/>
        </w:rPr>
      </w:pPr>
    </w:p>
    <w:p w:rsidR="00023DC7" w:rsidRDefault="00923625">
      <w:pPr>
        <w:jc w:val="center"/>
        <w:rPr>
          <w:b/>
          <w:sz w:val="28"/>
        </w:rPr>
      </w:pPr>
      <w:r>
        <w:rPr>
          <w:b/>
          <w:sz w:val="28"/>
        </w:rPr>
        <w:t>1.1.5. Инвестиции</w:t>
      </w:r>
    </w:p>
    <w:p w:rsidR="00023DC7" w:rsidRDefault="00923625">
      <w:pPr>
        <w:ind w:firstLine="709"/>
        <w:jc w:val="both"/>
        <w:rPr>
          <w:sz w:val="28"/>
        </w:rPr>
      </w:pPr>
      <w:r>
        <w:rPr>
          <w:sz w:val="28"/>
        </w:rPr>
        <w:t>В 2022 году объем инвестиций в основной капитал за счет всех источников финансирования составил 59,5 млрд рублей, по отношению к 2021 году в сопоставимых ценах он составил 113,0%.</w:t>
      </w:r>
    </w:p>
    <w:p w:rsidR="00023DC7" w:rsidRDefault="00923625">
      <w:pPr>
        <w:ind w:firstLine="709"/>
        <w:jc w:val="both"/>
        <w:rPr>
          <w:sz w:val="28"/>
        </w:rPr>
      </w:pPr>
      <w:r>
        <w:rPr>
          <w:sz w:val="28"/>
        </w:rPr>
        <w:t>Рост показателя был связан с увеличением вложения инвестиций в основной капитал по следующим основным видам экономической деятельности (в сопоставимых ценах):</w:t>
      </w:r>
    </w:p>
    <w:p w:rsidR="00023DC7" w:rsidRDefault="00923625">
      <w:pPr>
        <w:ind w:firstLine="709"/>
        <w:jc w:val="both"/>
        <w:rPr>
          <w:sz w:val="28"/>
        </w:rPr>
      </w:pPr>
      <w:r>
        <w:rPr>
          <w:sz w:val="28"/>
        </w:rPr>
        <w:t>строительство – в 38,5 раза;</w:t>
      </w:r>
    </w:p>
    <w:p w:rsidR="00023DC7" w:rsidRDefault="00923625">
      <w:pPr>
        <w:ind w:firstLine="709"/>
        <w:jc w:val="both"/>
        <w:rPr>
          <w:sz w:val="28"/>
        </w:rPr>
      </w:pPr>
      <w:r>
        <w:rPr>
          <w:sz w:val="28"/>
        </w:rPr>
        <w:t>добыча полезных ископаемых – в 5,0 раза;</w:t>
      </w:r>
    </w:p>
    <w:p w:rsidR="00023DC7" w:rsidRDefault="00923625">
      <w:pPr>
        <w:ind w:firstLine="709"/>
        <w:jc w:val="both"/>
        <w:rPr>
          <w:sz w:val="28"/>
        </w:rPr>
      </w:pPr>
      <w:r>
        <w:rPr>
          <w:sz w:val="28"/>
        </w:rPr>
        <w:t>предоставление прочих видов услуг – в 3,6 раза;</w:t>
      </w:r>
    </w:p>
    <w:p w:rsidR="00023DC7" w:rsidRDefault="00923625">
      <w:pPr>
        <w:ind w:firstLine="709"/>
        <w:jc w:val="both"/>
        <w:rPr>
          <w:sz w:val="28"/>
        </w:rPr>
      </w:pPr>
      <w:r>
        <w:rPr>
          <w:sz w:val="28"/>
        </w:rPr>
        <w:t>обеспечение электрической энергией, газом и паром; кондиционирование воздуха – в 2,9 раза;</w:t>
      </w:r>
    </w:p>
    <w:p w:rsidR="00023DC7" w:rsidRDefault="00923625">
      <w:pPr>
        <w:ind w:firstLine="709"/>
        <w:jc w:val="both"/>
        <w:rPr>
          <w:sz w:val="28"/>
        </w:rPr>
      </w:pPr>
      <w:r>
        <w:rPr>
          <w:sz w:val="28"/>
        </w:rPr>
        <w:t>деятельность административная и сопутствующие дополнительные услуги - в 1,9 раза;</w:t>
      </w:r>
    </w:p>
    <w:p w:rsidR="00023DC7" w:rsidRDefault="00923625">
      <w:pPr>
        <w:ind w:firstLine="709"/>
        <w:jc w:val="both"/>
        <w:rPr>
          <w:sz w:val="28"/>
        </w:rPr>
      </w:pPr>
      <w:r>
        <w:rPr>
          <w:sz w:val="28"/>
        </w:rPr>
        <w:t>водоснабжение; водоотведение, организация сбора и утилизации отходов, деятельность по ликвидации загрязнений; обеспечение электрической энергией, газом и паром: кондиционирование воздуха – в 1,8 раза;</w:t>
      </w:r>
    </w:p>
    <w:p w:rsidR="00023DC7" w:rsidRDefault="00923625">
      <w:pPr>
        <w:ind w:firstLine="709"/>
        <w:jc w:val="both"/>
        <w:rPr>
          <w:sz w:val="28"/>
        </w:rPr>
      </w:pPr>
      <w:r>
        <w:rPr>
          <w:sz w:val="28"/>
        </w:rPr>
        <w:t>деятельность в области культуры, спорта, организации досуга и развлечений – в 1,3 раза;</w:t>
      </w:r>
    </w:p>
    <w:p w:rsidR="00023DC7" w:rsidRDefault="00923625">
      <w:pPr>
        <w:ind w:firstLine="709"/>
        <w:jc w:val="both"/>
        <w:rPr>
          <w:sz w:val="28"/>
        </w:rPr>
      </w:pPr>
      <w:r>
        <w:rPr>
          <w:sz w:val="28"/>
        </w:rPr>
        <w:t>оптовая и розничная торговля; ремонт автотранспортных средств и мотоциклов, а также сельское, лесное хозяйство, рыболовство и рыбоводство – в 1,2 раза.</w:t>
      </w:r>
    </w:p>
    <w:p w:rsidR="00023DC7" w:rsidRDefault="00923625">
      <w:pPr>
        <w:ind w:firstLine="709"/>
        <w:jc w:val="both"/>
        <w:rPr>
          <w:sz w:val="28"/>
        </w:rPr>
      </w:pPr>
      <w:r>
        <w:rPr>
          <w:sz w:val="28"/>
        </w:rPr>
        <w:t>Также в 2022 году больше, чем в 2021 году было вложено инвестиций в такие отрасли, как: деятельность по операциям с недвижимым имуществом (107,4%) и сельское, лесное хозяйство, охота, рыболовство и рыбоводство» (106,6%).</w:t>
      </w:r>
    </w:p>
    <w:p w:rsidR="00023DC7" w:rsidRDefault="00923625">
      <w:pPr>
        <w:ind w:firstLine="709"/>
        <w:jc w:val="both"/>
        <w:rPr>
          <w:sz w:val="28"/>
        </w:rPr>
      </w:pPr>
      <w:r>
        <w:rPr>
          <w:sz w:val="28"/>
        </w:rPr>
        <w:t xml:space="preserve">Кроме того, высокий рост индекса физического объема среди обрабатывающих производств по сравнению с 2021 годом отмечен по объему инвестиций в производство прочей неметаллической минеральной продукции – в 3,4 раза; обработку древесины и производство изделий из дерева и пробки, – в 2,8 раза; производство компьютеров, электронных и оптических изделий – в 2,8 раза; производство напитков – на 58,1%; ремонт машин и оборудования – на 45,1%; производство химических веществ и химических продуктов – на 32,1%; производство машин и оборудования, не включенных в другие группировка – на 21,1%; производство металлургическое – на 16,4%. </w:t>
      </w:r>
      <w:r>
        <w:rPr>
          <w:sz w:val="28"/>
        </w:rPr>
        <w:br/>
        <w:t>В целом в обрабатывающие производства индекс физического объема составил 114,7%.</w:t>
      </w:r>
    </w:p>
    <w:p w:rsidR="00023DC7" w:rsidRDefault="00923625">
      <w:pPr>
        <w:ind w:firstLine="709"/>
        <w:jc w:val="both"/>
        <w:rPr>
          <w:sz w:val="28"/>
        </w:rPr>
      </w:pPr>
      <w:r>
        <w:rPr>
          <w:sz w:val="28"/>
        </w:rPr>
        <w:t>Снижение инвестиций по сравнению с 2021 годом наблюдалось по 8 видам экономической деятельности, удельный вес данных видов экономической деятельности составил 28,8%.</w:t>
      </w:r>
    </w:p>
    <w:p w:rsidR="00023DC7" w:rsidRDefault="00923625">
      <w:pPr>
        <w:ind w:firstLine="709"/>
        <w:jc w:val="both"/>
        <w:rPr>
          <w:sz w:val="28"/>
        </w:rPr>
      </w:pPr>
      <w:r>
        <w:rPr>
          <w:sz w:val="28"/>
        </w:rPr>
        <w:lastRenderedPageBreak/>
        <w:t>В 2022 году в инвестиционной сфере Ивановской области отмечались следующие тенденции:</w:t>
      </w:r>
    </w:p>
    <w:p w:rsidR="00023DC7" w:rsidRDefault="00923625">
      <w:pPr>
        <w:tabs>
          <w:tab w:val="left" w:pos="284"/>
        </w:tabs>
        <w:ind w:firstLine="709"/>
        <w:jc w:val="both"/>
        <w:rPr>
          <w:sz w:val="28"/>
        </w:rPr>
      </w:pPr>
      <w:r>
        <w:rPr>
          <w:sz w:val="28"/>
        </w:rPr>
        <w:t>наибольший удельный вес в общем объеме инвестиций в основной капитал приходился, прежде всего, на обеспечение электрической энергией, газом и паром; кондиционирование воздуха (23,3%) и на обрабатывающие производства (22,7%);</w:t>
      </w:r>
    </w:p>
    <w:p w:rsidR="00023DC7" w:rsidRDefault="00923625">
      <w:pPr>
        <w:ind w:firstLine="709"/>
        <w:jc w:val="both"/>
        <w:rPr>
          <w:sz w:val="28"/>
        </w:rPr>
      </w:pPr>
      <w:r>
        <w:rPr>
          <w:sz w:val="28"/>
        </w:rPr>
        <w:t>основным источником инвестиций в основной капитал являлись собственные средства (57,5%);</w:t>
      </w:r>
    </w:p>
    <w:p w:rsidR="00023DC7" w:rsidRDefault="00923625">
      <w:pPr>
        <w:ind w:firstLine="709"/>
        <w:jc w:val="both"/>
        <w:rPr>
          <w:sz w:val="28"/>
        </w:rPr>
      </w:pPr>
      <w:r>
        <w:rPr>
          <w:sz w:val="28"/>
        </w:rPr>
        <w:t>наибольшая доля средств в общем объеме инвестиций в основной капитал приходилась на машины, оборудование, транспортные средства, производственный и хозяйственный инвентарь (54%) и в здания (кроме жилых) и сооружения (44,1%).</w:t>
      </w:r>
    </w:p>
    <w:p w:rsidR="00023DC7" w:rsidRDefault="00923625">
      <w:pPr>
        <w:ind w:firstLine="709"/>
        <w:jc w:val="both"/>
        <w:rPr>
          <w:sz w:val="28"/>
        </w:rPr>
      </w:pPr>
      <w:r>
        <w:rPr>
          <w:sz w:val="28"/>
        </w:rPr>
        <w:t>В 2023 году объем инвестиций в основной капитал за счет всех источников финансирования оценивается около 64,7 млрд рублей с увеличением к уровню 2022 года на 2,8% в сопоставимых ценах.</w:t>
      </w:r>
    </w:p>
    <w:p w:rsidR="00023DC7" w:rsidRDefault="00923625">
      <w:pPr>
        <w:ind w:firstLine="709"/>
        <w:jc w:val="both"/>
        <w:rPr>
          <w:sz w:val="28"/>
        </w:rPr>
      </w:pPr>
      <w:r>
        <w:rPr>
          <w:sz w:val="28"/>
        </w:rPr>
        <w:t>В 2024 году объем инвестиций в основной капитал прогнозируется в сумме 70,2 млрд рублей с ростом на 3,0% к уровню 2023 года.</w:t>
      </w:r>
    </w:p>
    <w:p w:rsidR="00023DC7" w:rsidRDefault="00923625">
      <w:pPr>
        <w:ind w:firstLine="709"/>
        <w:jc w:val="both"/>
        <w:rPr>
          <w:sz w:val="28"/>
        </w:rPr>
      </w:pPr>
      <w:r>
        <w:rPr>
          <w:sz w:val="28"/>
        </w:rPr>
        <w:t>В 2025 – 2026 годах объем инвестиций в основной капитал за счет всех источников финансирования прогнозируется в суммах 76,3 –        82,9 млрд рублей с ростом на 3,5 – 3,9% к предыдущему году соответственно.</w:t>
      </w:r>
    </w:p>
    <w:p w:rsidR="00023DC7" w:rsidRDefault="00923625">
      <w:pPr>
        <w:ind w:firstLine="709"/>
        <w:jc w:val="both"/>
        <w:rPr>
          <w:sz w:val="28"/>
        </w:rPr>
      </w:pPr>
      <w:r>
        <w:rPr>
          <w:sz w:val="28"/>
        </w:rPr>
        <w:t>Планируются к реализации следующие крупные инвестиционные проекты:</w:t>
      </w:r>
    </w:p>
    <w:p w:rsidR="00023DC7" w:rsidRDefault="00923625">
      <w:pPr>
        <w:ind w:firstLine="709"/>
        <w:jc w:val="both"/>
        <w:rPr>
          <w:sz w:val="28"/>
        </w:rPr>
      </w:pPr>
      <w:r>
        <w:rPr>
          <w:sz w:val="28"/>
        </w:rPr>
        <w:t>ООО «</w:t>
      </w:r>
      <w:proofErr w:type="spellStart"/>
      <w:r>
        <w:rPr>
          <w:sz w:val="28"/>
        </w:rPr>
        <w:t>Унтекс</w:t>
      </w:r>
      <w:proofErr w:type="spellEnd"/>
      <w:r>
        <w:rPr>
          <w:sz w:val="28"/>
        </w:rPr>
        <w:t xml:space="preserve"> Родники» – продолжится реализация второго этапа проекта по производству и окраске необработанного трикотажного полотна на площадке ОЭЗ ППТ «Иваново в городе Родники, объем инвестиций – 4,5 млрд рублей;</w:t>
      </w:r>
    </w:p>
    <w:p w:rsidR="00023DC7" w:rsidRDefault="00923625">
      <w:pPr>
        <w:ind w:firstLine="709"/>
        <w:jc w:val="both"/>
        <w:rPr>
          <w:sz w:val="28"/>
        </w:rPr>
      </w:pPr>
      <w:r>
        <w:rPr>
          <w:sz w:val="28"/>
        </w:rPr>
        <w:t>ООО «МК Профессионал» – проект по производству дорожно-строительной техники на площадке ОЭЗ ППТ «Иваново в городе Иваново, объем инвестиций – 4,3 млрд рублей;</w:t>
      </w:r>
    </w:p>
    <w:p w:rsidR="00023DC7" w:rsidRDefault="00923625">
      <w:pPr>
        <w:ind w:firstLine="709"/>
        <w:jc w:val="both"/>
        <w:rPr>
          <w:sz w:val="28"/>
        </w:rPr>
      </w:pPr>
      <w:r>
        <w:rPr>
          <w:sz w:val="28"/>
        </w:rPr>
        <w:t>ООО «</w:t>
      </w:r>
      <w:proofErr w:type="spellStart"/>
      <w:r>
        <w:rPr>
          <w:sz w:val="28"/>
        </w:rPr>
        <w:t>Суртекс</w:t>
      </w:r>
      <w:proofErr w:type="spellEnd"/>
      <w:r>
        <w:rPr>
          <w:sz w:val="28"/>
        </w:rPr>
        <w:t xml:space="preserve"> Родники» – проект по организации производства крашенного трикотажного полотна на площадке ОЭЗ ППТ «Иваново в городе Родники, объем инвестиций – 2,1 млрд рублей;</w:t>
      </w:r>
    </w:p>
    <w:p w:rsidR="00023DC7" w:rsidRDefault="00923625">
      <w:pPr>
        <w:ind w:firstLine="709"/>
        <w:jc w:val="both"/>
        <w:rPr>
          <w:sz w:val="28"/>
        </w:rPr>
      </w:pPr>
      <w:r>
        <w:rPr>
          <w:sz w:val="28"/>
        </w:rPr>
        <w:t>АО «Родники-Текстиль» – проект по производству смесовой пряжи и тканей со специальными свойствами для одежды и униформы на площадке ОЭЗ ППТ «Иваново в городе Родники, объем инвестиций –    1,1 млрд рублей;</w:t>
      </w:r>
    </w:p>
    <w:p w:rsidR="00023DC7" w:rsidRDefault="00923625">
      <w:pPr>
        <w:ind w:firstLine="709"/>
        <w:jc w:val="both"/>
        <w:rPr>
          <w:sz w:val="28"/>
        </w:rPr>
      </w:pPr>
      <w:r>
        <w:rPr>
          <w:sz w:val="28"/>
        </w:rPr>
        <w:t>ООО «БРОКС» (г. Фурманов) – Организация производства паровых газотрубных котлов, объем инвестиций - 0,68 млрд рублей.</w:t>
      </w:r>
    </w:p>
    <w:p w:rsidR="00023DC7" w:rsidRDefault="00023DC7">
      <w:pPr>
        <w:ind w:firstLine="709"/>
        <w:jc w:val="both"/>
        <w:rPr>
          <w:sz w:val="28"/>
        </w:rPr>
      </w:pPr>
    </w:p>
    <w:p w:rsidR="00023DC7" w:rsidRDefault="00023DC7">
      <w:pPr>
        <w:ind w:firstLine="709"/>
        <w:jc w:val="both"/>
        <w:rPr>
          <w:sz w:val="28"/>
        </w:rPr>
      </w:pPr>
    </w:p>
    <w:p w:rsidR="00023DC7" w:rsidRDefault="00923625">
      <w:pPr>
        <w:jc w:val="center"/>
        <w:rPr>
          <w:b/>
          <w:sz w:val="28"/>
        </w:rPr>
      </w:pPr>
      <w:r>
        <w:rPr>
          <w:b/>
          <w:sz w:val="28"/>
        </w:rPr>
        <w:t>1.1.6. Строительство</w:t>
      </w:r>
    </w:p>
    <w:p w:rsidR="00023DC7" w:rsidRDefault="00923625">
      <w:pPr>
        <w:ind w:firstLine="709"/>
        <w:jc w:val="both"/>
        <w:rPr>
          <w:sz w:val="28"/>
        </w:rPr>
      </w:pPr>
      <w:r>
        <w:rPr>
          <w:sz w:val="28"/>
        </w:rPr>
        <w:t>По данным ТО ФСГС по Ивановской области объем работ, выполненных по виду деятельности «строительство», в 2022 году сократился на 1,2% и составил 59 млрд рублей.</w:t>
      </w:r>
    </w:p>
    <w:p w:rsidR="00023DC7" w:rsidRDefault="00923625">
      <w:pPr>
        <w:ind w:firstLine="709"/>
        <w:jc w:val="both"/>
        <w:rPr>
          <w:sz w:val="28"/>
        </w:rPr>
      </w:pPr>
      <w:r>
        <w:rPr>
          <w:sz w:val="28"/>
        </w:rPr>
        <w:lastRenderedPageBreak/>
        <w:t>В 2023 году ожидается снижение объема работ, выполненных по виду деятельности «строительство», на 2,4%, что составит порядка       64,7 млрд рублей. В 2024 году прогнозируется, что показатель достигнет порядка 65 млрд рублей.</w:t>
      </w:r>
    </w:p>
    <w:p w:rsidR="00023DC7" w:rsidRDefault="00923625">
      <w:pPr>
        <w:ind w:firstLine="709"/>
        <w:jc w:val="both"/>
        <w:rPr>
          <w:sz w:val="28"/>
        </w:rPr>
      </w:pPr>
      <w:r>
        <w:rPr>
          <w:sz w:val="28"/>
        </w:rPr>
        <w:t>В период 2025 – 2026 годов показатель прогнозируется в пределах от 100,5 до 101%, объем работ, выполненных по виду деятельности «строительство», вырастет с 71,9 млрд рублей в 2025 году, до 72,7 млрд рублей в 2026 году.</w:t>
      </w:r>
    </w:p>
    <w:p w:rsidR="00023DC7" w:rsidRDefault="00923625">
      <w:pPr>
        <w:ind w:firstLine="709"/>
        <w:jc w:val="both"/>
        <w:rPr>
          <w:sz w:val="28"/>
          <w:shd w:val="clear" w:color="auto" w:fill="FFD821"/>
        </w:rPr>
      </w:pPr>
      <w:r>
        <w:rPr>
          <w:sz w:val="28"/>
        </w:rPr>
        <w:t xml:space="preserve">В 2022 году в Ивановской области за счет всех источников финансирования введено в эксплуатацию жилых домов общей площадью     392,4 тыс. кв. м, что на 8,2%, или на 29,8 тыс. кв. м больше значения показателя 2021 года. </w:t>
      </w:r>
    </w:p>
    <w:p w:rsidR="00023DC7" w:rsidRDefault="00923625">
      <w:pPr>
        <w:ind w:firstLine="709"/>
        <w:jc w:val="both"/>
        <w:rPr>
          <w:sz w:val="28"/>
        </w:rPr>
      </w:pPr>
      <w:r>
        <w:rPr>
          <w:sz w:val="28"/>
        </w:rPr>
        <w:t>Населением за счет собственных и заемных средств введено в  эксплуатацию жилых домов площадью 268,5 тыс. кв. м, или 68,4% от введенного по области жилья. По сравнению с 2021 годом площадь жилых домов, построенных населением, сократилась на 26,2 тыс. кв. м, или на 8,9%.</w:t>
      </w:r>
    </w:p>
    <w:p w:rsidR="00023DC7" w:rsidRDefault="00923625">
      <w:pPr>
        <w:ind w:firstLine="709"/>
        <w:jc w:val="both"/>
        <w:rPr>
          <w:sz w:val="28"/>
        </w:rPr>
      </w:pPr>
      <w:r>
        <w:rPr>
          <w:sz w:val="28"/>
        </w:rPr>
        <w:t>За 8 месяцев 2023 года на территории Ивановской области введено в эксплуатацию 364,6 тыс. кв. м жилья, или 130,9% от уровня аналогичного периода 2022 года. В 2023 году ввод в эксплуатацию жилых домов оценивается в размере не менее 393 тыс. кв. м жилья.</w:t>
      </w:r>
    </w:p>
    <w:p w:rsidR="00023DC7" w:rsidRDefault="00923625">
      <w:pPr>
        <w:ind w:firstLine="709"/>
        <w:jc w:val="both"/>
        <w:rPr>
          <w:sz w:val="28"/>
        </w:rPr>
      </w:pPr>
      <w:r>
        <w:rPr>
          <w:sz w:val="28"/>
        </w:rPr>
        <w:t>В 2026 году прогнозируется достижение показателя по вводу жилья в эксплуатацию на уровне 398 тыс. кв. м.</w:t>
      </w:r>
    </w:p>
    <w:p w:rsidR="00023DC7" w:rsidRDefault="00023DC7">
      <w:pPr>
        <w:ind w:firstLine="709"/>
        <w:jc w:val="both"/>
        <w:rPr>
          <w:sz w:val="28"/>
        </w:rPr>
      </w:pPr>
    </w:p>
    <w:p w:rsidR="00023DC7" w:rsidRDefault="00923625">
      <w:pPr>
        <w:jc w:val="center"/>
        <w:rPr>
          <w:b/>
          <w:sz w:val="28"/>
        </w:rPr>
      </w:pPr>
      <w:r>
        <w:rPr>
          <w:b/>
          <w:sz w:val="28"/>
        </w:rPr>
        <w:t>1.1.7. Малое и среднее предпринимательство</w:t>
      </w:r>
    </w:p>
    <w:p w:rsidR="00023DC7" w:rsidRDefault="00923625">
      <w:pPr>
        <w:ind w:firstLine="709"/>
        <w:jc w:val="both"/>
        <w:rPr>
          <w:sz w:val="28"/>
        </w:rPr>
      </w:pPr>
      <w:r>
        <w:rPr>
          <w:sz w:val="28"/>
        </w:rPr>
        <w:t xml:space="preserve">По информации Федеральной налоговой службы количество малых и средних предприятий (далее – МСП), включая </w:t>
      </w:r>
      <w:proofErr w:type="spellStart"/>
      <w:r>
        <w:rPr>
          <w:sz w:val="28"/>
        </w:rPr>
        <w:t>микропредприятия</w:t>
      </w:r>
      <w:proofErr w:type="spellEnd"/>
      <w:r>
        <w:rPr>
          <w:sz w:val="28"/>
        </w:rPr>
        <w:t xml:space="preserve">              (с учетом индивидуальных предпринимателей), в Ивановской области по состоянию на 01.01.2023 составило 40,8 тыс. единиц (в 2021 году –        40,6 тыс. единиц).</w:t>
      </w:r>
    </w:p>
    <w:p w:rsidR="00023DC7" w:rsidRDefault="00923625">
      <w:pPr>
        <w:ind w:firstLine="709"/>
        <w:jc w:val="both"/>
        <w:rPr>
          <w:sz w:val="28"/>
        </w:rPr>
      </w:pPr>
      <w:r>
        <w:rPr>
          <w:sz w:val="28"/>
        </w:rPr>
        <w:t>Основными видами экономической деятельности предприятий малого и среднего бизнеса в Ивановской области являются: торговля, обрабатывающие производства и строительство. Доля малого и среднего предпринимательства в ВРП Ивановской области составила за 2021 год 40,2%, что на 18,6% выше, чем по Российской Федерации и на 16,8% выше, чем по Центральному федеральному округу.</w:t>
      </w:r>
    </w:p>
    <w:p w:rsidR="00023DC7" w:rsidRDefault="00923625">
      <w:pPr>
        <w:ind w:firstLine="709"/>
        <w:jc w:val="both"/>
        <w:rPr>
          <w:sz w:val="28"/>
        </w:rPr>
      </w:pPr>
      <w:r>
        <w:rPr>
          <w:sz w:val="28"/>
        </w:rPr>
        <w:t>За 2022 году среднесписочная численность работников на предприятиях малого и среднего бизнеса выросла на 4,8% и составила 117,5 тыс. человек. Оборот субъектов МСП в 2022 году составил        576,6 млрд рублей, увеличившись на 5,9% к уровню 2021 года.</w:t>
      </w:r>
    </w:p>
    <w:p w:rsidR="00023DC7" w:rsidRDefault="00923625">
      <w:pPr>
        <w:ind w:firstLine="709"/>
        <w:jc w:val="both"/>
        <w:rPr>
          <w:sz w:val="28"/>
        </w:rPr>
      </w:pPr>
      <w:r>
        <w:rPr>
          <w:sz w:val="28"/>
        </w:rPr>
        <w:t>С целью создания благоприятных условий для поддержания стабильной работы субъектов МСП в 2022 году осуществлялась реализация мероприятий по развитию инфраструктурной поддержки малого и среднего бизнеса на территории региона.</w:t>
      </w:r>
    </w:p>
    <w:p w:rsidR="00023DC7" w:rsidRDefault="00923625">
      <w:pPr>
        <w:ind w:firstLine="709"/>
        <w:jc w:val="both"/>
        <w:rPr>
          <w:sz w:val="28"/>
        </w:rPr>
      </w:pPr>
      <w:r>
        <w:rPr>
          <w:sz w:val="28"/>
        </w:rPr>
        <w:lastRenderedPageBreak/>
        <w:t xml:space="preserve">В рамках центра «Мой бизнес» реализовывались меры по расширению доступа субъектов МСП к льготному финансированию, в том числе к федеральным программам льготного кредитования, гарантиям, лизингу, реализуемых АО «Корпорация МСП» и АО «МСП Банк» в режиме «одного окна» через некоммерческую </w:t>
      </w:r>
      <w:proofErr w:type="spellStart"/>
      <w:r>
        <w:rPr>
          <w:sz w:val="28"/>
        </w:rPr>
        <w:t>микрокредитную</w:t>
      </w:r>
      <w:proofErr w:type="spellEnd"/>
      <w:r>
        <w:rPr>
          <w:sz w:val="28"/>
        </w:rPr>
        <w:t xml:space="preserve"> компанию «Ивановский фонд поддержки предпринимательства» (далее - НМК Фонд ИФПП»).</w:t>
      </w:r>
    </w:p>
    <w:p w:rsidR="00023DC7" w:rsidRDefault="00923625">
      <w:pPr>
        <w:ind w:firstLine="709"/>
        <w:jc w:val="both"/>
        <w:rPr>
          <w:sz w:val="28"/>
        </w:rPr>
      </w:pPr>
      <w:r>
        <w:rPr>
          <w:sz w:val="28"/>
        </w:rPr>
        <w:t>Количество обращений субъектов МСП в центр «Мой бизнес» за 2022 год составило 10 474, в том числе по направлениям поддержки: по экспорту – 3 905, сельскому хозяйству – 387, по финансовой поддержке – 1 113.</w:t>
      </w:r>
    </w:p>
    <w:p w:rsidR="00023DC7" w:rsidRDefault="00923625">
      <w:pPr>
        <w:ind w:firstLine="709"/>
        <w:jc w:val="both"/>
        <w:rPr>
          <w:sz w:val="28"/>
        </w:rPr>
      </w:pPr>
      <w:r>
        <w:rPr>
          <w:sz w:val="28"/>
        </w:rPr>
        <w:t xml:space="preserve">За 2022 год центром «Мой бизнес» было проведено порядка              60 мероприятий (семинары, </w:t>
      </w:r>
      <w:proofErr w:type="spellStart"/>
      <w:r>
        <w:rPr>
          <w:sz w:val="28"/>
        </w:rPr>
        <w:t>вебинары</w:t>
      </w:r>
      <w:proofErr w:type="spellEnd"/>
      <w:r>
        <w:rPr>
          <w:sz w:val="28"/>
        </w:rPr>
        <w:t xml:space="preserve">, тренинги, «круглые столы», мастер-классы по различной тематике), а также оказано более 3,3 тысяч услуг субъектам МСП и начинающим предпринимателям, государственную поддержку получили более 3,6 тысяч субъектов МСП и </w:t>
      </w:r>
      <w:proofErr w:type="spellStart"/>
      <w:r>
        <w:rPr>
          <w:sz w:val="28"/>
        </w:rPr>
        <w:t>самозанятых</w:t>
      </w:r>
      <w:proofErr w:type="spellEnd"/>
      <w:r>
        <w:rPr>
          <w:sz w:val="28"/>
        </w:rPr>
        <w:t xml:space="preserve"> граждан. Заключено 285 контрактов по экспорту                (42 субъекта МСП).</w:t>
      </w:r>
    </w:p>
    <w:p w:rsidR="00023DC7" w:rsidRDefault="00923625">
      <w:pPr>
        <w:ind w:firstLine="709"/>
        <w:jc w:val="both"/>
        <w:rPr>
          <w:sz w:val="28"/>
        </w:rPr>
      </w:pPr>
      <w:r>
        <w:rPr>
          <w:sz w:val="28"/>
        </w:rPr>
        <w:t>Оказано 73 консультации по мерам государственной поддержки «</w:t>
      </w:r>
      <w:proofErr w:type="spellStart"/>
      <w:r>
        <w:rPr>
          <w:sz w:val="28"/>
        </w:rPr>
        <w:t>Агростартап</w:t>
      </w:r>
      <w:proofErr w:type="spellEnd"/>
      <w:r>
        <w:rPr>
          <w:sz w:val="28"/>
        </w:rPr>
        <w:t>», «Семейная ферма», «</w:t>
      </w:r>
      <w:proofErr w:type="spellStart"/>
      <w:r>
        <w:rPr>
          <w:sz w:val="28"/>
        </w:rPr>
        <w:t>Агротуризм</w:t>
      </w:r>
      <w:proofErr w:type="spellEnd"/>
      <w:r>
        <w:rPr>
          <w:sz w:val="28"/>
        </w:rPr>
        <w:t>», создание и развитие потребительской кооперации, в том числе подготовлены заявки на их соискание.</w:t>
      </w:r>
    </w:p>
    <w:p w:rsidR="00023DC7" w:rsidRDefault="00923625">
      <w:pPr>
        <w:ind w:firstLine="709"/>
        <w:jc w:val="both"/>
        <w:rPr>
          <w:sz w:val="28"/>
        </w:rPr>
      </w:pPr>
      <w:r>
        <w:rPr>
          <w:sz w:val="28"/>
        </w:rPr>
        <w:t>Общая сумма финансирования мероприятий подпрограммы «Развитие малого и среднего предпринимательства» государственной программы Ивановской области «Экономическое развитие и инновационная экономика Ивановской области», утвержденной постановлением Правительства Ивановской области от 13.11.2013             № 459-п, в 2022 году составила 136,3 млн рублей, в том числе                  55,1 млн рублей - средства областного бюджета и 81,2 млн рублей - средства федерального бюджета.</w:t>
      </w:r>
    </w:p>
    <w:p w:rsidR="00023DC7" w:rsidRDefault="00923625">
      <w:pPr>
        <w:ind w:firstLine="709"/>
        <w:jc w:val="both"/>
        <w:rPr>
          <w:sz w:val="28"/>
        </w:rPr>
      </w:pPr>
      <w:r>
        <w:rPr>
          <w:sz w:val="28"/>
        </w:rPr>
        <w:t>Кроме того, в целях поддержки и развития сектора МСП в регионе продолжалась реализация мер налогового стимулирования, установленных региональным законодательством («налоговые каникулы» для впервые зарегистрированных индивидуальных предпринимателей, пониженные налоговые ставки при применении упрощенной системы налогообложения, меры по развитию патентной системы налогообложения, применяемой индивидуальными предпринимателями).</w:t>
      </w:r>
    </w:p>
    <w:p w:rsidR="00023DC7" w:rsidRDefault="00923625">
      <w:pPr>
        <w:tabs>
          <w:tab w:val="left" w:pos="567"/>
          <w:tab w:val="left" w:pos="1134"/>
        </w:tabs>
        <w:ind w:firstLine="709"/>
        <w:jc w:val="both"/>
        <w:rPr>
          <w:sz w:val="28"/>
        </w:rPr>
      </w:pPr>
      <w:r>
        <w:rPr>
          <w:sz w:val="28"/>
        </w:rPr>
        <w:t xml:space="preserve">Так, до конца 2023 года продлено действие пониженных налоговых ставок для организаций и индивидуальных предпринимателей, применяющих упрощенную систему налогообложения (далее – УСН), с налоговой базой «доходы, уменьшенные на величину расходов» в размере 5% и с налоговой базой «доходы» в размере 4%. Кроме того, в 2023 году пониженные ставки применяются также для организаций, имеющих статус «социальное предприятие». Для предпринимателей, перешедших с 2021 </w:t>
      </w:r>
      <w:r>
        <w:rPr>
          <w:sz w:val="28"/>
        </w:rPr>
        <w:lastRenderedPageBreak/>
        <w:t>года с единого налога на вмененный доход на УСН с видом деятельности «розничная торговля» на 2023 год также установлена пониженная ставка 5% при выборе налогооблагаемой базы «доходы, уменьшенные на величину расходов», в 2024 году льготная налоговая ставка составит 7,5%, в 2025 году – 10%. До 2025 года продлены «налоговые каникулы» (ставка 0%) для впервые зарегистрированных индивидуальных предпринимателей, применяющих специальные налоговые режимы (УСН или патентную систему налогообложения). В регионе установлены понижающие коэффициенты к размеру потенциального дохода для предпринимателей, пользующихся патентной системой налогообложения.</w:t>
      </w:r>
    </w:p>
    <w:p w:rsidR="00023DC7" w:rsidRDefault="00923625">
      <w:pPr>
        <w:ind w:firstLine="743"/>
        <w:jc w:val="both"/>
        <w:rPr>
          <w:sz w:val="28"/>
        </w:rPr>
      </w:pPr>
      <w:r>
        <w:rPr>
          <w:sz w:val="28"/>
        </w:rPr>
        <w:t xml:space="preserve">В целях реализации мер по обеспечению развития российской экономики в условиях внешнего </w:t>
      </w:r>
      <w:proofErr w:type="spellStart"/>
      <w:r>
        <w:rPr>
          <w:sz w:val="28"/>
        </w:rPr>
        <w:t>санкционного</w:t>
      </w:r>
      <w:proofErr w:type="spellEnd"/>
      <w:r>
        <w:rPr>
          <w:sz w:val="28"/>
        </w:rPr>
        <w:t xml:space="preserve"> давления в Ивановской области за истекший период 2023 года:</w:t>
      </w:r>
    </w:p>
    <w:p w:rsidR="00023DC7" w:rsidRDefault="00923625">
      <w:pPr>
        <w:ind w:firstLine="743"/>
        <w:jc w:val="both"/>
        <w:rPr>
          <w:sz w:val="28"/>
        </w:rPr>
      </w:pPr>
      <w:r>
        <w:rPr>
          <w:sz w:val="28"/>
        </w:rPr>
        <w:t>субъектам МСП предоставлены кредитные каникулы по 7 кредитам на 22,4 млн рублей;</w:t>
      </w:r>
    </w:p>
    <w:p w:rsidR="00023DC7" w:rsidRDefault="00923625">
      <w:pPr>
        <w:ind w:firstLine="743"/>
        <w:jc w:val="both"/>
        <w:rPr>
          <w:sz w:val="28"/>
        </w:rPr>
      </w:pPr>
      <w:r>
        <w:rPr>
          <w:sz w:val="28"/>
        </w:rPr>
        <w:t>кредитными учреждениями выдано 2 кредита на 11 млн рублей по программе «ПСК Оборотная» и 5 кредитов на 612 млн рублей по программе «ПСК Инвестиционная»;</w:t>
      </w:r>
    </w:p>
    <w:p w:rsidR="00023DC7" w:rsidRDefault="00923625">
      <w:pPr>
        <w:ind w:firstLine="743"/>
        <w:jc w:val="both"/>
        <w:rPr>
          <w:sz w:val="28"/>
        </w:rPr>
      </w:pPr>
      <w:r>
        <w:rPr>
          <w:sz w:val="28"/>
        </w:rPr>
        <w:t>выдано 67 кредитов на 797,7 млн рублей по программе льготного кредитования субъектов МСП на инвестиционные цели, на пополнение оборотных средств, на рефинансирование;</w:t>
      </w:r>
    </w:p>
    <w:p w:rsidR="00023DC7" w:rsidRDefault="00923625">
      <w:pPr>
        <w:ind w:firstLine="743"/>
        <w:jc w:val="both"/>
        <w:rPr>
          <w:sz w:val="28"/>
        </w:rPr>
      </w:pPr>
      <w:r>
        <w:rPr>
          <w:sz w:val="28"/>
        </w:rPr>
        <w:t>выдано 4 кредита на 482 млн рублей на перестройку и развитие производства (в рамках постановления Правительства Российской Федерации от 16.08.2022 № 1420);</w:t>
      </w:r>
    </w:p>
    <w:p w:rsidR="00023DC7" w:rsidRDefault="00923625">
      <w:pPr>
        <w:ind w:firstLine="743"/>
        <w:jc w:val="both"/>
        <w:rPr>
          <w:sz w:val="28"/>
        </w:rPr>
      </w:pPr>
      <w:r>
        <w:rPr>
          <w:sz w:val="28"/>
        </w:rPr>
        <w:t>по льготной кредитной программе на приобретение приоритетной для импорта продукции выдано 15 кредитов на 908,7 млн рублей.</w:t>
      </w:r>
    </w:p>
    <w:p w:rsidR="00023DC7" w:rsidRDefault="00923625">
      <w:pPr>
        <w:ind w:firstLine="743"/>
        <w:jc w:val="both"/>
        <w:rPr>
          <w:sz w:val="28"/>
        </w:rPr>
      </w:pPr>
      <w:r>
        <w:rPr>
          <w:sz w:val="28"/>
        </w:rPr>
        <w:t xml:space="preserve">В рамках оказания неотложных мер поддержки субъектам МСП Некоммерческой </w:t>
      </w:r>
      <w:proofErr w:type="spellStart"/>
      <w:r>
        <w:rPr>
          <w:sz w:val="28"/>
        </w:rPr>
        <w:t>микрокредитной</w:t>
      </w:r>
      <w:proofErr w:type="spellEnd"/>
      <w:r>
        <w:rPr>
          <w:sz w:val="28"/>
        </w:rPr>
        <w:t xml:space="preserve"> компанией «Ивановский фонд поддержки предпринимательства» (далее - Фонд) за истекший период 2023 года выдано 114 </w:t>
      </w:r>
      <w:proofErr w:type="spellStart"/>
      <w:r>
        <w:rPr>
          <w:sz w:val="28"/>
        </w:rPr>
        <w:t>микрозаймов</w:t>
      </w:r>
      <w:proofErr w:type="spellEnd"/>
      <w:r>
        <w:rPr>
          <w:sz w:val="28"/>
        </w:rPr>
        <w:t xml:space="preserve"> на 171,1 млн рублей. Кроме того, Фондом предоставляются отсрочки по </w:t>
      </w:r>
      <w:proofErr w:type="spellStart"/>
      <w:r>
        <w:rPr>
          <w:sz w:val="28"/>
        </w:rPr>
        <w:t>микрозаймам</w:t>
      </w:r>
      <w:proofErr w:type="spellEnd"/>
      <w:r>
        <w:rPr>
          <w:sz w:val="28"/>
        </w:rPr>
        <w:t>: в 2023 году количество обратившихся – 11 заявителей.</w:t>
      </w:r>
    </w:p>
    <w:p w:rsidR="00023DC7" w:rsidRDefault="00923625">
      <w:pPr>
        <w:ind w:firstLine="743"/>
        <w:jc w:val="both"/>
        <w:rPr>
          <w:sz w:val="28"/>
        </w:rPr>
      </w:pPr>
      <w:r>
        <w:rPr>
          <w:sz w:val="28"/>
        </w:rPr>
        <w:t xml:space="preserve">По оценке в 2023 году количество МСП, включая </w:t>
      </w:r>
      <w:proofErr w:type="spellStart"/>
      <w:r>
        <w:rPr>
          <w:sz w:val="28"/>
        </w:rPr>
        <w:t>микропредприятия</w:t>
      </w:r>
      <w:proofErr w:type="spellEnd"/>
      <w:r>
        <w:rPr>
          <w:sz w:val="28"/>
        </w:rPr>
        <w:t>, на территории региона составит 40,9 тыс. единиц со среднесписочной численностью работников 116,7 тыс. человек, оборот МСП ожидается на уровне 605,5 млрд рублей.</w:t>
      </w:r>
    </w:p>
    <w:p w:rsidR="00023DC7" w:rsidRDefault="00923625">
      <w:pPr>
        <w:ind w:firstLine="743"/>
        <w:jc w:val="both"/>
        <w:rPr>
          <w:sz w:val="28"/>
        </w:rPr>
      </w:pPr>
      <w:r>
        <w:rPr>
          <w:sz w:val="28"/>
        </w:rPr>
        <w:t xml:space="preserve">В плановом периоде 2024 – 2026 годов значения показателей, характеризующих сектор МСП региона, спрогнозированы с учетом регуляторных решений со стороны государства, а также факторов, способных повлиять на результаты экономической деятельности в условиях </w:t>
      </w:r>
      <w:proofErr w:type="spellStart"/>
      <w:r>
        <w:rPr>
          <w:sz w:val="28"/>
        </w:rPr>
        <w:t>санкционного</w:t>
      </w:r>
      <w:proofErr w:type="spellEnd"/>
      <w:r>
        <w:rPr>
          <w:sz w:val="28"/>
        </w:rPr>
        <w:t xml:space="preserve"> давления недружественных иностранных государств. </w:t>
      </w:r>
    </w:p>
    <w:p w:rsidR="00023DC7" w:rsidRDefault="00923625">
      <w:pPr>
        <w:ind w:firstLine="743"/>
        <w:jc w:val="both"/>
        <w:rPr>
          <w:sz w:val="28"/>
        </w:rPr>
      </w:pPr>
      <w:r>
        <w:rPr>
          <w:sz w:val="28"/>
        </w:rPr>
        <w:lastRenderedPageBreak/>
        <w:t xml:space="preserve">К 2026 году общее количество МСП, включая </w:t>
      </w:r>
      <w:proofErr w:type="spellStart"/>
      <w:r>
        <w:rPr>
          <w:sz w:val="28"/>
        </w:rPr>
        <w:t>микропредприятия</w:t>
      </w:r>
      <w:proofErr w:type="spellEnd"/>
      <w:r>
        <w:rPr>
          <w:sz w:val="28"/>
        </w:rPr>
        <w:t xml:space="preserve">,  составит 41,3 тыс. единиц со среднесписочной численностью работников 117,6 тыс. человек. </w:t>
      </w:r>
    </w:p>
    <w:p w:rsidR="00023DC7" w:rsidRDefault="00923625">
      <w:pPr>
        <w:ind w:firstLine="743"/>
        <w:jc w:val="both"/>
        <w:rPr>
          <w:sz w:val="28"/>
        </w:rPr>
      </w:pPr>
      <w:r>
        <w:rPr>
          <w:sz w:val="28"/>
        </w:rPr>
        <w:t xml:space="preserve">Планируется увеличение оборота МСП в 2024 году до 621,2 млрд рублей, в 2025 году – до 641,4 млрд рублей, в 2026 году – до 666,2 млрд рублей соответственно. </w:t>
      </w:r>
    </w:p>
    <w:p w:rsidR="00023DC7" w:rsidRDefault="00923625">
      <w:pPr>
        <w:ind w:firstLine="720"/>
        <w:jc w:val="both"/>
        <w:rPr>
          <w:sz w:val="27"/>
        </w:rPr>
      </w:pPr>
      <w:r>
        <w:rPr>
          <w:sz w:val="28"/>
        </w:rPr>
        <w:t>Достижению прогнозируемых показателей по развитию МСП будет способствовать реализация мероприятий государственной поддержки предпринимательской деятельности в рамках региональных проектов национального проекта «Малое и среднее предпринимательство и поддержка индивидуальной предпринимательской инициативы».</w:t>
      </w:r>
    </w:p>
    <w:p w:rsidR="00023DC7" w:rsidRDefault="00023DC7">
      <w:pPr>
        <w:ind w:firstLine="709"/>
        <w:jc w:val="both"/>
        <w:rPr>
          <w:sz w:val="28"/>
          <w:shd w:val="clear" w:color="auto" w:fill="FFD821"/>
        </w:rPr>
      </w:pPr>
    </w:p>
    <w:p w:rsidR="00023DC7" w:rsidRDefault="00923625">
      <w:pPr>
        <w:jc w:val="center"/>
        <w:rPr>
          <w:b/>
          <w:sz w:val="28"/>
        </w:rPr>
      </w:pPr>
      <w:r>
        <w:rPr>
          <w:b/>
          <w:sz w:val="28"/>
        </w:rPr>
        <w:t>1.1.8. Прибыль прибыльных организаций</w:t>
      </w:r>
    </w:p>
    <w:p w:rsidR="00023DC7" w:rsidRDefault="00923625">
      <w:pPr>
        <w:ind w:firstLine="709"/>
        <w:jc w:val="both"/>
        <w:rPr>
          <w:sz w:val="28"/>
        </w:rPr>
      </w:pPr>
      <w:r>
        <w:rPr>
          <w:sz w:val="28"/>
        </w:rPr>
        <w:t>В 2022 году прибыль прибыльных организаций (по данным налоговой отчетности УФНС России по Ивановской области) выросла по отношению к уровню 2021 года на 10,2% и составила 31 432,2 млн рублей. Рост показателя был связан с улучшением результатов финансово-хозяйственной деятельности предприятий и организаций региона, значительным ростом объемов государственных заказов, увеличением внутреннего рынка в связи с уходом иностранных компаний, инфляционными факторами.</w:t>
      </w:r>
    </w:p>
    <w:p w:rsidR="00023DC7" w:rsidRDefault="00923625">
      <w:pPr>
        <w:ind w:firstLine="709"/>
        <w:jc w:val="both"/>
        <w:rPr>
          <w:sz w:val="28"/>
        </w:rPr>
      </w:pPr>
      <w:r>
        <w:rPr>
          <w:sz w:val="28"/>
        </w:rPr>
        <w:t>В 2023 году показатель оценивается в сумме 32 250 млн рублей с ростом к уровню 2022 года на 2,6%.</w:t>
      </w:r>
    </w:p>
    <w:p w:rsidR="00023DC7" w:rsidRDefault="00923625">
      <w:pPr>
        <w:ind w:firstLine="709"/>
        <w:jc w:val="both"/>
        <w:rPr>
          <w:sz w:val="28"/>
        </w:rPr>
      </w:pPr>
      <w:r>
        <w:rPr>
          <w:sz w:val="28"/>
        </w:rPr>
        <w:t>В 2024 году прибыль прибыльных организаций прогнозируется в размере 33 210 млн рублей с ростом на 3,0% к предыдущему году. В прогнозируемом периоде 2025 - 2026 годов планируется рост прибыли на 3,5% и 4,1% соответственно. Прибыль прибыльных организаций в абсолютном выражении в 2025 году составит 34 380 млн рублей и                в 2026 году – 35 790 млн рублей.</w:t>
      </w:r>
    </w:p>
    <w:p w:rsidR="00023DC7" w:rsidRDefault="00023DC7">
      <w:pPr>
        <w:ind w:firstLine="709"/>
        <w:jc w:val="center"/>
        <w:rPr>
          <w:sz w:val="28"/>
        </w:rPr>
      </w:pPr>
    </w:p>
    <w:p w:rsidR="00023DC7" w:rsidRDefault="00923625">
      <w:pPr>
        <w:jc w:val="center"/>
        <w:rPr>
          <w:b/>
          <w:sz w:val="28"/>
        </w:rPr>
      </w:pPr>
      <w:r>
        <w:rPr>
          <w:b/>
          <w:sz w:val="28"/>
        </w:rPr>
        <w:t>1.1.9. Производство подакцизных товаров в натуральном выражении</w:t>
      </w:r>
    </w:p>
    <w:p w:rsidR="00023DC7" w:rsidRDefault="00923625">
      <w:pPr>
        <w:ind w:firstLine="709"/>
        <w:jc w:val="both"/>
        <w:rPr>
          <w:sz w:val="28"/>
        </w:rPr>
      </w:pPr>
      <w:r>
        <w:rPr>
          <w:sz w:val="28"/>
        </w:rPr>
        <w:t>Производство водки и ликеро-водочных изделий в регионе осуществляет ОАО «Шуйская водка». Объем производства продукции в 2022 году увеличился в 1,5 раза и составил 417,1 тыс. декалитров. В 2023 году объем производства продукции оценивается на уровне 370 тыс. декалитров. По информации АО «Шуйская водка» в связи со сложной макроэкономической ситуацией прогнозирование показателя по производству водки и ликеро-водочных изделий в среднесрочном периоде не представляется возможным.</w:t>
      </w:r>
    </w:p>
    <w:p w:rsidR="00023DC7" w:rsidRDefault="00923625">
      <w:pPr>
        <w:ind w:firstLine="709"/>
        <w:jc w:val="both"/>
        <w:rPr>
          <w:sz w:val="28"/>
        </w:rPr>
      </w:pPr>
      <w:r>
        <w:rPr>
          <w:sz w:val="28"/>
        </w:rPr>
        <w:t xml:space="preserve">Основным производителем пива и напитков, изготавливаемых на основе пива, является филиал АО «АБ </w:t>
      </w:r>
      <w:proofErr w:type="spellStart"/>
      <w:r>
        <w:rPr>
          <w:sz w:val="28"/>
        </w:rPr>
        <w:t>ИнБев</w:t>
      </w:r>
      <w:proofErr w:type="spellEnd"/>
      <w:r>
        <w:rPr>
          <w:sz w:val="28"/>
        </w:rPr>
        <w:t xml:space="preserve"> Эфес» в г. Иваново. Также данную продукцию производят ряд предприятий, являющихся субъектами МСП. Объемы производства данной продукции в 2022 году увеличились на 2,1% и составили 7 053,96 тыс. декалитров. В связи со снижением </w:t>
      </w:r>
      <w:r>
        <w:rPr>
          <w:sz w:val="28"/>
        </w:rPr>
        <w:lastRenderedPageBreak/>
        <w:t>спроса потребителей в 2023 году ожидается снижение производства до 5 млн декалитров, в 2024 – 2026 годах объемы производства пива и напитков, изготавливаемых на основе пива, прогнозируются с небольшим ростом. В 2024 году на 2% до 5,1 млн декалитров, в 2025 году на 1% - до 5,15 млн декалитров, в 2026 году на 1% - до 5,2 млн декалитров.</w:t>
      </w:r>
    </w:p>
    <w:p w:rsidR="00023DC7" w:rsidRDefault="00023DC7">
      <w:pPr>
        <w:ind w:firstLine="709"/>
        <w:jc w:val="both"/>
        <w:rPr>
          <w:sz w:val="28"/>
        </w:rPr>
      </w:pPr>
    </w:p>
    <w:p w:rsidR="00023DC7" w:rsidRDefault="00923625">
      <w:pPr>
        <w:jc w:val="center"/>
        <w:rPr>
          <w:b/>
          <w:sz w:val="28"/>
        </w:rPr>
      </w:pPr>
      <w:r>
        <w:rPr>
          <w:b/>
          <w:sz w:val="28"/>
        </w:rPr>
        <w:t>Подраздел 1.2. Показатели, характеризующие уровень жизни населения</w:t>
      </w:r>
    </w:p>
    <w:p w:rsidR="00023DC7" w:rsidRDefault="00923625">
      <w:pPr>
        <w:ind w:firstLine="709"/>
        <w:jc w:val="both"/>
        <w:rPr>
          <w:sz w:val="28"/>
        </w:rPr>
      </w:pPr>
      <w:r>
        <w:rPr>
          <w:sz w:val="28"/>
        </w:rPr>
        <w:t>Демографическая ситуация в Ивановской области на протяжении нескольких лет характеризуется снижением общей численности населения. Это результат отрицательного сальдо естественного воспроизводства.</w:t>
      </w:r>
    </w:p>
    <w:p w:rsidR="00023DC7" w:rsidRDefault="00923625">
      <w:pPr>
        <w:ind w:firstLine="709"/>
        <w:jc w:val="both"/>
        <w:rPr>
          <w:sz w:val="28"/>
        </w:rPr>
      </w:pPr>
      <w:r>
        <w:rPr>
          <w:sz w:val="28"/>
        </w:rPr>
        <w:t>На 01.01.2023 удельный вес численности населения Ивановской области составил порядка 0,6% от численности населения Российской Федерации и примерно 2,3% от численности населения Центрального федерального округа. Плотность населения Ивановской области на начало 2023 года – 41,96 человек на 1 кв. км.</w:t>
      </w:r>
    </w:p>
    <w:p w:rsidR="00023DC7" w:rsidRDefault="00923625">
      <w:pPr>
        <w:ind w:firstLine="709"/>
        <w:jc w:val="both"/>
        <w:rPr>
          <w:sz w:val="28"/>
        </w:rPr>
      </w:pPr>
      <w:r>
        <w:rPr>
          <w:sz w:val="28"/>
        </w:rPr>
        <w:t xml:space="preserve">По итогам проведения Всероссийской переписи населения 2020 года численность населения Ивановской области была скорректирована в сторону уменьшения. Таким образом, по состоянию на 01.01.2022 численность населения составила 924 114 человек. Также в 2022 году продолжилась основная тенденция сокращения численности населения области, являющаяся результатом превышения числа умерших над числом родившихся, которая усилилась вследствие пандемии </w:t>
      </w:r>
      <w:proofErr w:type="spellStart"/>
      <w:r>
        <w:rPr>
          <w:sz w:val="28"/>
        </w:rPr>
        <w:t>коронавирусной</w:t>
      </w:r>
      <w:proofErr w:type="spellEnd"/>
      <w:r>
        <w:rPr>
          <w:sz w:val="28"/>
        </w:rPr>
        <w:t xml:space="preserve"> инфекции COVID-19. За 2022 год численность постоянного населения Ивановской области сократилась на 9,39 тыс. человек, или на 1,02%, и на 01.01.2023 составила 914,7 тыс. человек. Общее снижение численности населения региона обусловлено также и тем, что естественная убыль населения не компенсируется миграционным притоком.</w:t>
      </w:r>
    </w:p>
    <w:p w:rsidR="00023DC7" w:rsidRDefault="00923625">
      <w:pPr>
        <w:ind w:firstLine="709"/>
        <w:jc w:val="both"/>
        <w:rPr>
          <w:sz w:val="28"/>
        </w:rPr>
      </w:pPr>
      <w:r>
        <w:rPr>
          <w:sz w:val="28"/>
        </w:rPr>
        <w:t>В 2022 году миграционный отток составил 0,39 тыс. человек. На протяжении нескольких лет миграционный приток отмечается, в основном, из стран СНГ, а именно: из Таджикистана, Азербайджана, Армении и Узбекистана. Миграционный отток жителей Ивановской области направлен, в основном, в другие регионы Российской Федерации.</w:t>
      </w:r>
    </w:p>
    <w:p w:rsidR="00023DC7" w:rsidRDefault="00923625">
      <w:pPr>
        <w:ind w:firstLine="709"/>
        <w:jc w:val="both"/>
        <w:rPr>
          <w:sz w:val="28"/>
        </w:rPr>
      </w:pPr>
      <w:r>
        <w:rPr>
          <w:sz w:val="28"/>
        </w:rPr>
        <w:t>По-прежнему, в Ивановской области удельный вес женщин значительно больше, чем мужчин – 55,1% и 44,9% соответственно.</w:t>
      </w:r>
    </w:p>
    <w:p w:rsidR="00023DC7" w:rsidRDefault="00923625">
      <w:pPr>
        <w:ind w:firstLine="709"/>
        <w:jc w:val="both"/>
        <w:rPr>
          <w:sz w:val="28"/>
        </w:rPr>
      </w:pPr>
      <w:r>
        <w:rPr>
          <w:sz w:val="28"/>
        </w:rPr>
        <w:t>Также в Ивановском регионе остается высоким уровень урбанизации, а именно: численность городского населения на 01.01.2023 составила 750,7 тыс. человек, или 82,1% от общей численности постоянного населения Ивановской области, сельского населения –       164 тыс. человек, или 17,9% соответственно.</w:t>
      </w:r>
    </w:p>
    <w:p w:rsidR="00023DC7" w:rsidRDefault="00923625">
      <w:pPr>
        <w:ind w:firstLine="709"/>
        <w:jc w:val="both"/>
        <w:rPr>
          <w:sz w:val="28"/>
        </w:rPr>
      </w:pPr>
      <w:r>
        <w:rPr>
          <w:sz w:val="28"/>
        </w:rPr>
        <w:t xml:space="preserve">В 2023 году продолжится сокращение численности населения Ивановской области. По оценке, в 2023 году среднегодовая численность </w:t>
      </w:r>
      <w:r>
        <w:rPr>
          <w:sz w:val="28"/>
        </w:rPr>
        <w:lastRenderedPageBreak/>
        <w:t>населения Ивановской области составит 910,3 тыс. человек, что на 1,0% меньше данного показателя 2022 года.</w:t>
      </w:r>
    </w:p>
    <w:p w:rsidR="00023DC7" w:rsidRDefault="00923625">
      <w:pPr>
        <w:ind w:firstLine="709"/>
        <w:jc w:val="both"/>
        <w:rPr>
          <w:sz w:val="28"/>
        </w:rPr>
      </w:pPr>
      <w:r>
        <w:rPr>
          <w:sz w:val="28"/>
        </w:rPr>
        <w:t>Прогноз развития демографической ситуации в области на 2024 - 2026 годы рассчитан с учетом сложившихся тенденций, анализа половозрастной структуры населения, миграционной ситуации. На протяжении прогнозного периода предполагается дальнейшее сокращение численности населения области, однако масштабы его не увеличатся. Этому будут способствовать дальнейшая реализация мер на федеральном и областном уровнях, направленных на сохранение и укрепление здоровья населения области, увеличение рождаемости и продолжительности жизни, сокращение уровня смертности, формирование мотивации для ведения здорового образа жизни. Принимаемые в области меры по улучшению социально-экономической ситуации будут способствовать повышению миграционной привлекательности региона.</w:t>
      </w:r>
    </w:p>
    <w:p w:rsidR="00023DC7" w:rsidRDefault="00923625">
      <w:pPr>
        <w:ind w:firstLine="709"/>
        <w:jc w:val="both"/>
        <w:rPr>
          <w:sz w:val="28"/>
        </w:rPr>
      </w:pPr>
      <w:r>
        <w:rPr>
          <w:sz w:val="28"/>
        </w:rPr>
        <w:t>В прогнозном периоде 2024 - 2026 годов в Ивановской области сохранится тенденция сокращения численности населения. В 2024 году среднегодовая численность постоянного населения составит 902,9 тыс. человек, в 2026 году она достигнет значения 888,9 тыс. человек.</w:t>
      </w:r>
    </w:p>
    <w:p w:rsidR="00023DC7" w:rsidRDefault="00923625">
      <w:pPr>
        <w:ind w:firstLine="709"/>
        <w:jc w:val="both"/>
        <w:rPr>
          <w:sz w:val="28"/>
        </w:rPr>
      </w:pPr>
      <w:r>
        <w:rPr>
          <w:sz w:val="28"/>
        </w:rPr>
        <w:t>При прогнозировании численности занятых в экономике учитывались демографические факторы (рождаемость, смертность, миграция), тенденции развития реального сектора экономики, а также сложившиеся тенденции в области формирования и использования трудовых ресурсов. Существенных изменений в структуре занятых по видам экономической деятельности в прогнозном периоде не произойдет.</w:t>
      </w:r>
    </w:p>
    <w:p w:rsidR="00023DC7" w:rsidRDefault="00923625">
      <w:pPr>
        <w:tabs>
          <w:tab w:val="left" w:pos="851"/>
        </w:tabs>
        <w:ind w:firstLine="709"/>
        <w:jc w:val="both"/>
        <w:rPr>
          <w:sz w:val="28"/>
        </w:rPr>
      </w:pPr>
      <w:r>
        <w:rPr>
          <w:sz w:val="28"/>
        </w:rPr>
        <w:t>Среднегодовая численность занятых в экономике по итогам 2023 года, по оценке вырастет на 1% и составит 443,5 тыс. человек. В 2024 году показатель составит 449 тыс. человек, к 2026 году вырастет до       455 тыс. человек.</w:t>
      </w:r>
    </w:p>
    <w:p w:rsidR="00023DC7" w:rsidRDefault="00923625">
      <w:pPr>
        <w:ind w:firstLine="709"/>
        <w:jc w:val="both"/>
        <w:rPr>
          <w:sz w:val="28"/>
        </w:rPr>
      </w:pPr>
      <w:r>
        <w:rPr>
          <w:sz w:val="28"/>
        </w:rPr>
        <w:t>В 2022 году среднемесячная номинальная заработная плата одного работника увеличилась по сравнению с предыдущим годом на 12,3% и составила 36379,9 рубля. В 2023 году по оценке, данный показатель вырастет на 10,1% по сравнению с 2022 годом и составит 40 054,3 рубля. Фонд заработной платы в 2023 году оценивается в действующих ценах в размере 107,6 млрд рублей.</w:t>
      </w:r>
    </w:p>
    <w:p w:rsidR="00023DC7" w:rsidRDefault="00923625">
      <w:pPr>
        <w:ind w:firstLine="709"/>
        <w:jc w:val="both"/>
        <w:rPr>
          <w:sz w:val="28"/>
        </w:rPr>
      </w:pPr>
      <w:r>
        <w:rPr>
          <w:sz w:val="28"/>
        </w:rPr>
        <w:t>В 2024 году среднемесячная заработная плата одного работника увеличится на 7,1% до 42 898,1 рубля при среднесписочной численности работников 221 тыс. человек, фонд заработной платы составит порядка 113,5 млрд рублей с ростом к 2023 году на 5,7%.</w:t>
      </w:r>
    </w:p>
    <w:p w:rsidR="00023DC7" w:rsidRDefault="00923625">
      <w:pPr>
        <w:ind w:firstLine="709"/>
        <w:jc w:val="both"/>
        <w:rPr>
          <w:sz w:val="28"/>
        </w:rPr>
      </w:pPr>
      <w:r>
        <w:rPr>
          <w:sz w:val="28"/>
        </w:rPr>
        <w:t>Определенное влияние на рост заработной платы окажет увеличение с 01.01.2024 минимального размера оплаты труда на 18,5% до 19 242 рублей. Фонд заработной платы составит порядка 113,8 млрд рублей с ростом к 2023 году на 5,7%.</w:t>
      </w:r>
    </w:p>
    <w:p w:rsidR="00023DC7" w:rsidRDefault="00923625">
      <w:pPr>
        <w:ind w:firstLine="709"/>
        <w:jc w:val="both"/>
        <w:rPr>
          <w:sz w:val="28"/>
        </w:rPr>
      </w:pPr>
      <w:r>
        <w:rPr>
          <w:sz w:val="28"/>
        </w:rPr>
        <w:t xml:space="preserve">В 2025 году фонд заработной платы увеличится на 6,2% до           120,8 млрд рублей, среднемесячная заработная плата по области составит 45 </w:t>
      </w:r>
      <w:r>
        <w:rPr>
          <w:sz w:val="28"/>
        </w:rPr>
        <w:lastRenderedPageBreak/>
        <w:t>815,2 рубля при среднесписочной численности работников                 219,7 тыс. человек.</w:t>
      </w:r>
    </w:p>
    <w:p w:rsidR="00023DC7" w:rsidRDefault="00923625">
      <w:pPr>
        <w:ind w:firstLine="709"/>
        <w:jc w:val="both"/>
        <w:rPr>
          <w:sz w:val="28"/>
        </w:rPr>
      </w:pPr>
      <w:r>
        <w:rPr>
          <w:sz w:val="28"/>
        </w:rPr>
        <w:t>В 2026 году фонд заработной платы увеличится на 6,7% и составит 128,9 млрд рублей, среднемесячная заработная плата по области вырастет на 6,6% до 48 839 рублей при среднесписочной численности работников                         219,9 тыс. человек.</w:t>
      </w:r>
    </w:p>
    <w:p w:rsidR="00023DC7" w:rsidRDefault="00923625">
      <w:pPr>
        <w:ind w:firstLine="709"/>
        <w:jc w:val="both"/>
        <w:rPr>
          <w:sz w:val="28"/>
        </w:rPr>
      </w:pPr>
      <w:r>
        <w:rPr>
          <w:sz w:val="28"/>
        </w:rPr>
        <w:t>Среднемесячный доход от трудовой деятельности по Ивановской области в 2023 году оценивается в размере 30 218,3 рубля (107,5% к уровню 2022 года).</w:t>
      </w:r>
    </w:p>
    <w:p w:rsidR="00023DC7" w:rsidRDefault="00923625">
      <w:pPr>
        <w:ind w:firstLine="709"/>
        <w:jc w:val="both"/>
        <w:rPr>
          <w:sz w:val="28"/>
        </w:rPr>
      </w:pPr>
      <w:r>
        <w:rPr>
          <w:sz w:val="28"/>
        </w:rPr>
        <w:t>В прогнозном периоде величина среднемесячного дохода от трудовой деятельности достигнет следующих значений: 32 363,7 рубля (2024 год), 34 564,5 рубля (2025 год) и 36 845,7 рубля (2026 год). Темпы роста составят 107,1%, 106,8% и 106,6% соответственно.</w:t>
      </w:r>
    </w:p>
    <w:p w:rsidR="00023DC7" w:rsidRDefault="00923625">
      <w:pPr>
        <w:tabs>
          <w:tab w:val="left" w:pos="851"/>
        </w:tabs>
        <w:ind w:firstLine="709"/>
        <w:jc w:val="both"/>
        <w:rPr>
          <w:sz w:val="28"/>
        </w:rPr>
      </w:pPr>
      <w:r>
        <w:rPr>
          <w:sz w:val="28"/>
        </w:rPr>
        <w:t>Ситуация на рынке труда в регионе характеризуется следующими показателями.</w:t>
      </w:r>
    </w:p>
    <w:p w:rsidR="00023DC7" w:rsidRDefault="00923625">
      <w:pPr>
        <w:ind w:firstLine="720"/>
        <w:jc w:val="both"/>
        <w:rPr>
          <w:sz w:val="28"/>
        </w:rPr>
      </w:pPr>
      <w:r>
        <w:rPr>
          <w:sz w:val="28"/>
        </w:rPr>
        <w:t xml:space="preserve">По состоянию на 01.09.2023 уровень безработицы составил 0,4% к экономически активному населению. Численность безработных составила </w:t>
      </w:r>
      <w:r>
        <w:rPr>
          <w:sz w:val="28"/>
        </w:rPr>
        <w:br/>
        <w:t>2 120 человек, снизившись на 17,7% по сравнению с началом января  2023 года.</w:t>
      </w:r>
    </w:p>
    <w:p w:rsidR="00023DC7" w:rsidRDefault="00923625">
      <w:pPr>
        <w:ind w:firstLine="709"/>
        <w:jc w:val="both"/>
        <w:rPr>
          <w:sz w:val="28"/>
        </w:rPr>
      </w:pPr>
      <w:r>
        <w:rPr>
          <w:sz w:val="28"/>
        </w:rPr>
        <w:t>По прогнозным оценкам, до конца текущего года резких колебаний на рынке труда не ожидается. Уровень регистрируемой безработицы и коэффициент напряженности на рынке труда сохранятся на уровне достигнутых значений.</w:t>
      </w:r>
    </w:p>
    <w:p w:rsidR="00023DC7" w:rsidRDefault="00923625">
      <w:pPr>
        <w:ind w:firstLine="709"/>
        <w:jc w:val="both"/>
        <w:rPr>
          <w:sz w:val="28"/>
        </w:rPr>
      </w:pPr>
      <w:r>
        <w:rPr>
          <w:sz w:val="28"/>
        </w:rPr>
        <w:t xml:space="preserve">Реализация комплекса мер, направленных на решение задач по сохранению устойчивого развития экономики в условиях </w:t>
      </w:r>
      <w:proofErr w:type="spellStart"/>
      <w:r>
        <w:rPr>
          <w:sz w:val="28"/>
        </w:rPr>
        <w:t>санкционного</w:t>
      </w:r>
      <w:proofErr w:type="spellEnd"/>
      <w:r>
        <w:rPr>
          <w:sz w:val="28"/>
        </w:rPr>
        <w:t xml:space="preserve"> давления дает основание прогнозировать в 2024 – 2026 годах основные индикаторы рынка труда с положительной динамикой.</w:t>
      </w:r>
    </w:p>
    <w:p w:rsidR="00023DC7" w:rsidRDefault="00923625">
      <w:pPr>
        <w:ind w:firstLine="709"/>
        <w:jc w:val="both"/>
        <w:rPr>
          <w:sz w:val="28"/>
        </w:rPr>
      </w:pPr>
      <w:r>
        <w:rPr>
          <w:sz w:val="28"/>
        </w:rPr>
        <w:t>Сохранению стабильности на рынке труда также будет способствовать:</w:t>
      </w:r>
    </w:p>
    <w:p w:rsidR="00023DC7" w:rsidRDefault="00923625">
      <w:pPr>
        <w:ind w:firstLine="709"/>
        <w:jc w:val="both"/>
        <w:rPr>
          <w:sz w:val="28"/>
        </w:rPr>
      </w:pPr>
      <w:r>
        <w:rPr>
          <w:sz w:val="28"/>
        </w:rPr>
        <w:t>реализация программных мероприятий по содействию в трудоустройстве безработных граждан, в том числе в рамках национальных проектов;</w:t>
      </w:r>
    </w:p>
    <w:p w:rsidR="00023DC7" w:rsidRDefault="00923625">
      <w:pPr>
        <w:ind w:firstLine="709"/>
        <w:jc w:val="both"/>
        <w:rPr>
          <w:sz w:val="28"/>
        </w:rPr>
      </w:pPr>
      <w:r>
        <w:rPr>
          <w:sz w:val="28"/>
        </w:rPr>
        <w:t>создание новых рабочих мест за счет реализация на территории региона инвестиционных проектов;</w:t>
      </w:r>
    </w:p>
    <w:p w:rsidR="00023DC7" w:rsidRDefault="00923625">
      <w:pPr>
        <w:ind w:firstLine="709"/>
        <w:jc w:val="both"/>
        <w:rPr>
          <w:sz w:val="28"/>
        </w:rPr>
      </w:pPr>
      <w:r>
        <w:rPr>
          <w:sz w:val="28"/>
        </w:rPr>
        <w:t>приток иностранных граждан требуемой квалификации, в том числе из числа бывших соотечественников, проживающих за рубежом, что положительно отразится на сокращение миграционных потоков за пределы региона и позволит частично сбалансировать спрос и предложение рабочей силы на рынке труда.</w:t>
      </w:r>
    </w:p>
    <w:p w:rsidR="00023DC7" w:rsidRDefault="00923625">
      <w:pPr>
        <w:ind w:firstLine="709"/>
        <w:jc w:val="both"/>
        <w:rPr>
          <w:sz w:val="28"/>
        </w:rPr>
      </w:pPr>
      <w:r>
        <w:rPr>
          <w:sz w:val="28"/>
        </w:rPr>
        <w:t>Регистрируемая безработица на конец 2026 года прогнозируется на уровне 0,4%, численность безработных составит 2,1 тыс. человек.</w:t>
      </w:r>
    </w:p>
    <w:p w:rsidR="00023DC7" w:rsidRDefault="00923625">
      <w:pPr>
        <w:ind w:firstLine="709"/>
        <w:jc w:val="both"/>
        <w:rPr>
          <w:sz w:val="28"/>
        </w:rPr>
      </w:pPr>
      <w:r>
        <w:rPr>
          <w:sz w:val="28"/>
        </w:rPr>
        <w:t xml:space="preserve">Величина прожиточного минимума на душу населения в Ивановской области и по основным социально-демографическим группам на 2023 год установлена постановлением Правительства Ивановской области от </w:t>
      </w:r>
      <w:r>
        <w:rPr>
          <w:sz w:val="28"/>
        </w:rPr>
        <w:lastRenderedPageBreak/>
        <w:t>20.12.2022 № 777-п. В 2023 году прожиточный минимум в среднем на душу населения вырос по сравнению с 2022 годом на 4,4% и составил 13 369 рублей.</w:t>
      </w:r>
    </w:p>
    <w:p w:rsidR="00023DC7" w:rsidRDefault="00923625">
      <w:pPr>
        <w:ind w:firstLine="709"/>
        <w:jc w:val="both"/>
        <w:rPr>
          <w:sz w:val="28"/>
        </w:rPr>
      </w:pPr>
      <w:r>
        <w:rPr>
          <w:sz w:val="28"/>
        </w:rPr>
        <w:t>В 2024 году прогнозируется рост показателя на 8,7% по сравнению с 2023 годом до 14 526 рублей, в 2025 году – до 15 908 рублей и в 2026 году – до 17 550 рублей.</w:t>
      </w:r>
    </w:p>
    <w:p w:rsidR="00023DC7" w:rsidRDefault="00023DC7">
      <w:pPr>
        <w:sectPr w:rsidR="00023DC7">
          <w:headerReference w:type="default" r:id="rId8"/>
          <w:footerReference w:type="default" r:id="rId9"/>
          <w:pgSz w:w="11906" w:h="16838"/>
          <w:pgMar w:top="1134" w:right="1276" w:bottom="1134" w:left="1701" w:header="720" w:footer="720" w:gutter="0"/>
          <w:cols w:space="720"/>
          <w:titlePg/>
        </w:sectPr>
      </w:pPr>
    </w:p>
    <w:p w:rsidR="00023DC7" w:rsidRDefault="00923625">
      <w:pPr>
        <w:jc w:val="center"/>
        <w:rPr>
          <w:sz w:val="28"/>
          <w:shd w:val="clear" w:color="auto" w:fill="FFD821"/>
        </w:rPr>
      </w:pPr>
      <w:r>
        <w:rPr>
          <w:b/>
          <w:sz w:val="28"/>
        </w:rPr>
        <w:lastRenderedPageBreak/>
        <w:t>Раздел 2.</w:t>
      </w:r>
    </w:p>
    <w:p w:rsidR="00023DC7" w:rsidRDefault="00923625">
      <w:pPr>
        <w:jc w:val="center"/>
        <w:rPr>
          <w:b/>
          <w:sz w:val="28"/>
        </w:rPr>
      </w:pPr>
      <w:r>
        <w:rPr>
          <w:b/>
          <w:sz w:val="28"/>
        </w:rPr>
        <w:t>Показатели прогноза социально-экономического развития Ивановской области</w:t>
      </w:r>
      <w:r>
        <w:rPr>
          <w:b/>
          <w:sz w:val="28"/>
        </w:rPr>
        <w:br/>
        <w:t>на 2024 год и плановый период 2025 и 2026 годов</w:t>
      </w:r>
    </w:p>
    <w:p w:rsidR="00023DC7" w:rsidRDefault="00023DC7">
      <w:pPr>
        <w:jc w:val="center"/>
        <w:rPr>
          <w:b/>
        </w:rPr>
      </w:pP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25"/>
        <w:gridCol w:w="2154"/>
        <w:gridCol w:w="1464"/>
        <w:gridCol w:w="153"/>
        <w:gridCol w:w="1389"/>
        <w:gridCol w:w="1389"/>
        <w:gridCol w:w="1388"/>
        <w:gridCol w:w="1389"/>
        <w:gridCol w:w="1527"/>
      </w:tblGrid>
      <w:tr w:rsidR="00023DC7">
        <w:trPr>
          <w:trHeight w:val="645"/>
        </w:trPr>
        <w:tc>
          <w:tcPr>
            <w:tcW w:w="3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Показатель</w:t>
            </w:r>
          </w:p>
        </w:tc>
        <w:tc>
          <w:tcPr>
            <w:tcW w:w="21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Единица измерения</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Отчет</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Отчет</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Оценка</w:t>
            </w:r>
          </w:p>
        </w:tc>
        <w:tc>
          <w:tcPr>
            <w:tcW w:w="4304" w:type="dxa"/>
            <w:gridSpan w:val="3"/>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Прогноз</w:t>
            </w:r>
          </w:p>
        </w:tc>
      </w:tr>
      <w:tr w:rsidR="00023DC7">
        <w:trPr>
          <w:trHeight w:val="300"/>
        </w:trPr>
        <w:tc>
          <w:tcPr>
            <w:tcW w:w="3625"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2154"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4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2021</w:t>
            </w:r>
          </w:p>
        </w:tc>
        <w:tc>
          <w:tcPr>
            <w:tcW w:w="15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2022</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2023</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2024</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2025</w:t>
            </w: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2026</w:t>
            </w:r>
          </w:p>
        </w:tc>
      </w:tr>
      <w:tr w:rsidR="00023DC7">
        <w:trPr>
          <w:trHeight w:val="315"/>
        </w:trPr>
        <w:tc>
          <w:tcPr>
            <w:tcW w:w="3625"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2154"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464"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542"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c>
          <w:tcPr>
            <w:tcW w:w="1527" w:type="dxa"/>
            <w:vMerge/>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tc>
      </w:tr>
      <w:tr w:rsidR="00023DC7">
        <w:trPr>
          <w:trHeight w:val="375"/>
        </w:trPr>
        <w:tc>
          <w:tcPr>
            <w:tcW w:w="14477" w:type="dxa"/>
            <w:gridSpan w:val="9"/>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rPr>
                <w:b/>
              </w:rPr>
            </w:pPr>
            <w:r>
              <w:rPr>
                <w:b/>
              </w:rPr>
              <w:t>Подраздел 2.1. Экономические показатели</w:t>
            </w:r>
          </w:p>
        </w:tc>
      </w:tr>
      <w:tr w:rsidR="00023DC7">
        <w:trPr>
          <w:trHeight w:val="126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1"/>
            </w:pPr>
            <w:r>
              <w:rPr>
                <w:b/>
              </w:rPr>
              <w:t>2.1.1. Валовой региональный продукт (ВРП)</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 в основных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300 626,3*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321 920,0**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352 210,4</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376 252,9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406 846,4</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433 698,2</w:t>
            </w:r>
          </w:p>
        </w:tc>
      </w:tr>
      <w:tr w:rsidR="00023DC7">
        <w:trPr>
          <w:trHeight w:val="126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физического объема ВРП</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 в сопоставимых основных ценах</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101,9 *</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98,8**</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102,3</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102,5</w:t>
            </w:r>
          </w:p>
        </w:tc>
      </w:tr>
      <w:tr w:rsidR="00023DC7">
        <w:trPr>
          <w:trHeight w:val="632"/>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t>2.1.2. Промышленное производство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промышленного производства, всего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101,8</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101,3</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101,9</w:t>
            </w:r>
          </w:p>
        </w:tc>
      </w:tr>
      <w:tr w:rsidR="00023DC7">
        <w:trPr>
          <w:trHeight w:val="126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191"/>
            </w:pPr>
            <w:r>
              <w:t>Объем отгруженных товаров собственного производства, выполненных работ и услуг собственными силами: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263 599,9</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302 878,9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321 879,5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342 535,5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365 031,1</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389 441,9</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Добыча полезных ископаемых</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1 240,6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1 421,2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1 503,9</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1 595,9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1 690,5</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1 791,1</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114,0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85,2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98,9</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100,6</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Обрабатывающие производства, всего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225 176,5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266 506,0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287 113,9</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306 192,3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326 733,9</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348 987,9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107,5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105,2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101,5</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102,1</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в том числе:</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r>
      <w:tr w:rsidR="00023DC7">
        <w:trPr>
          <w:trHeight w:val="54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пищевых продуктов</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16 747,4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16 291,4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16 887,5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17 596,8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18 355,5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19 167,4</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97,0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85,0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99,1</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100,6</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текстильных изделий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77 004,5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92 262,2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103 372,4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110 915,7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119 020,4</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127 734,5</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117,0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105,9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105,7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102,1</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102,7</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одежды</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16 178,4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19 563,1</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20 826,4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22 514,8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24 274,1</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26 201,5</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121,5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102,8</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Производство кожи и изделий из кожи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289,2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231,9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242,7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253,6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264,5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276,0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184,1</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93,3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100,8</w:t>
            </w:r>
          </w:p>
        </w:tc>
      </w:tr>
      <w:tr w:rsidR="00023DC7">
        <w:trPr>
          <w:trHeight w:val="157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7 555,0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8 027,6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7 390,6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7 316,1</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7 389,3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7 522,6</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91,0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92,9</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98,5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бумаги и бумажных изделий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613,3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482,9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506,6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533,2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562,3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594,2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103,2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102,0</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Деятельность полиграфическая и копирование носителей информации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4 459,1</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4 503,2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4 731,4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5 001,8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5 273,1</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5 543,9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132,8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96,9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100,8</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химических веществ и химических продуктов</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9 662,5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7 469,4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7 806,1</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8 158,7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8 536,2</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8 949,2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93,8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100,7</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r>
      <w:tr w:rsidR="00023DC7">
        <w:trPr>
          <w:trHeight w:val="1081"/>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лекарственных средств и материалов, применяемых в медицинских целях</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3 102,6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4 485,2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4 756,9</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5 101,0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5 481,7</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5 849,2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95,5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120,7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98,2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101,5</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резиновых и пластмассовых изделий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7 997,8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8 543,0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9 219,6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9 766,0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10 287,8</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10 913,3</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74,4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78,5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102,1</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102,0</w:t>
            </w:r>
          </w:p>
        </w:tc>
      </w:tr>
      <w:tr w:rsidR="00023DC7">
        <w:trPr>
          <w:trHeight w:val="883"/>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Производство прочей неметаллической минеральной продукции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4 475,4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4 920,2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5 362,1</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5 697,3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6 072,3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6 491,7</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110,1</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83,8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103,2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101,7</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102,5</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Производство металлургическое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18 503,5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12 723,3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13 428,8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14 174,7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15 036,5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16 029,2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79,6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111,5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102,6</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готовых металлических изделий, кроме машин и оборудования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11 946,3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17 413,3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18 543,1</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19 933,8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21 434,5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23 056,0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124,5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98,6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100,4</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компьютеров, электронных и оптических изделий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12 690,5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30 286,6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32 873,0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35 334,7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37 949,2</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40 686,4</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83,7</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135,6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101,8</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102,4</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электрического оборудования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3 954,2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4 866,9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5 283,3</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5 699,0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6 149,1</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6 636,5</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104,5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101,6</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102,3</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машин и оборудования, не включенных в другие группировки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5 996,6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8 443,4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9 102,0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9 769,6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10 488,9</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11 275,2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108,8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118,9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101,7</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Производство автотранспортных средств, прицепов и полуприцепов</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6 717,2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6 160,3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6 683,9</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7 213,5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7 780,2</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8 401,9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112,0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80,3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100,8</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101,4</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мебели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9 672,4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10 477,8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10 916,0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11 430,4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11 970,5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12 549,3</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107,1</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100,6</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Производство прочих готовых изделий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1 963,4</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1 754,5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1 909,9</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2 075,4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2 255,5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2 451,2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138,2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102,6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103,0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103,5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103,9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Ремонт и монтаж машин и оборудования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2 909,7</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3 531,1</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3 786,9</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4 071,5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4 353,5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4 629,5</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61,3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107,5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99,3</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100,4</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100,7</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Обеспечение электроэнергией, газом и паром; кондиционирование воздуха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млн руб.</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30 420,2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27 275,0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25 302,8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26 350,8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27 747,3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29 305,6</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123,1</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85,5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98,9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r>
      <w:tr w:rsidR="00023DC7">
        <w:trPr>
          <w:trHeight w:val="126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Водоснабжение; водоотведение, организация сбора и утилизации отходов, деятельность по ликвидации загрязнений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 xml:space="preserve">млн руб.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6 762,5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7 676,7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7 958,8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8 396,6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8 859,3</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9 357,3</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91,0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97,9</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100,2</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100,4</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Производство в натуральном выражении тканей хлопчатобумажных</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млн кв. м</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738,9</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675,9</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677,3</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681,0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685,5</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689,4</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99,5</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91,5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100,7</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100,6</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t>2.1.3. Сельское хозяйство</w:t>
            </w:r>
          </w:p>
          <w:p w:rsidR="00023DC7" w:rsidRDefault="00023DC7">
            <w:pPr>
              <w:rPr>
                <w:b/>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023DC7">
            <w:pPr>
              <w:jc w:val="center"/>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023DC7">
            <w:pPr>
              <w:jc w:val="cente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023DC7">
            <w:pPr>
              <w:jc w:val="center"/>
            </w:pP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023DC7">
            <w:pPr>
              <w:jc w:val="center"/>
            </w:pP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Объем продукции сельского хозяйства в хозяйствах всех категорий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 в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22 497,3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23 879,6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24 818,0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26 641,0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28 523,9</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30 002,4</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производства продукции сельского хозяйства в хозяйствах всех категорий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96,8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102,8</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101,0</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t>2.1.4. Рынок товаров и услуг</w:t>
            </w:r>
          </w:p>
          <w:p w:rsidR="00023DC7" w:rsidRDefault="00023DC7">
            <w:pPr>
              <w:rPr>
                <w:b/>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потребительских цен</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декабрь к декабрю предыдущего года,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109,9</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112,7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103,5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105,3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105,0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104,7</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Индекс потребительских цен (среднегодовой)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к предыдущему году,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107,9</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116,0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105,1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105,2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104,8</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104,5</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Оборот розничной торговли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 в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207 733,2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245 588,9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267 656,3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292 465,4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317 198,0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344 058,3</w:t>
            </w:r>
          </w:p>
        </w:tc>
      </w:tr>
      <w:tr w:rsidR="00023DC7">
        <w:trPr>
          <w:trHeight w:val="96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 в сопоставимых ценах</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106,3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103,5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102,9</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103,5</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Объем платных услуг населению</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 в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45 763,0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52 030,0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59 680,5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64 777,4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69 914,0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74 886,6</w:t>
            </w:r>
          </w:p>
        </w:tc>
      </w:tr>
      <w:tr w:rsidR="00023DC7">
        <w:trPr>
          <w:trHeight w:val="99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 в сопоставимых ценах</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106,8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103,4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101,7</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102,4</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102,5</w:t>
            </w:r>
          </w:p>
        </w:tc>
      </w:tr>
      <w:tr w:rsidR="00023DC7">
        <w:trPr>
          <w:trHeight w:val="31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t>2.1.5. Инвестиции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Инвестиции в основной капитал за счет всех источников финансирования, всего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 в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45 269,2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59 451,1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64 660,4</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70 196,7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76 286,2</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82 907,4</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 в действующих ценах</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rPr>
                <w:highlight w:val="yellow"/>
              </w:rPr>
            </w:pPr>
            <w:r>
              <w:t>102,0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rPr>
                <w:highlight w:val="yellow"/>
              </w:rPr>
            </w:pPr>
            <w:r>
              <w:t>131,3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108,8</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108,7</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108,7</w:t>
            </w:r>
          </w:p>
        </w:tc>
      </w:tr>
      <w:tr w:rsidR="00023DC7">
        <w:trPr>
          <w:trHeight w:val="111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 в сопоставимых ценах</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rPr>
                <w:highlight w:val="yellow"/>
              </w:rPr>
            </w:pPr>
          </w:p>
          <w:p w:rsidR="00023DC7" w:rsidRDefault="00923625">
            <w:pPr>
              <w:jc w:val="center"/>
              <w:rPr>
                <w:highlight w:val="yellow"/>
              </w:rPr>
            </w:pPr>
            <w:r>
              <w:t>97,2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rPr>
                <w:highlight w:val="yellow"/>
              </w:rPr>
            </w:pPr>
            <w:r>
              <w:t>113,0</w:t>
            </w:r>
          </w:p>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102,8</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103,0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103,5</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103,9</w:t>
            </w:r>
          </w:p>
        </w:tc>
      </w:tr>
      <w:tr w:rsidR="00023DC7">
        <w:trPr>
          <w:trHeight w:val="444"/>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t>2.1.6. Строительство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Объем выполненных работ по виду деятельности «строительство»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млн руб. в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52 942,0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58 993,3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61 599,3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64 987,2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68 643,1</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72 657,3</w:t>
            </w:r>
          </w:p>
        </w:tc>
      </w:tr>
      <w:tr w:rsidR="00023DC7">
        <w:trPr>
          <w:trHeight w:val="97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r>
              <w:t>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 в сопоставимых ценах</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115,0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98,8</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98,6</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100,5</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101,0</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Ввод в эксплуатацию жилых домов за счет всех источников финансирования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тыс. кв. м общей площади</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362,6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392,4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393,0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398,0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398,0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398,0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Темп роста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108,8</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86,7</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103,5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113,1</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t>2.1.7. Малое и среднее предпринимательство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right"/>
            </w:pP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right"/>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right"/>
            </w:pP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right"/>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right"/>
            </w:pP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right"/>
            </w:pPr>
          </w:p>
        </w:tc>
      </w:tr>
      <w:tr w:rsidR="00023DC7">
        <w:trPr>
          <w:trHeight w:val="102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Число малых и средних предприятий, включая </w:t>
            </w:r>
            <w:proofErr w:type="spellStart"/>
            <w:r>
              <w:t>микропредприятия</w:t>
            </w:r>
            <w:proofErr w:type="spellEnd"/>
            <w:r>
              <w:br/>
              <w:t>(на конец года)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единиц</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40 637,0</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40 760,0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40 883,0</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41 018,0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41 135,0</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41 268,0</w:t>
            </w:r>
          </w:p>
        </w:tc>
      </w:tr>
      <w:tr w:rsidR="00023DC7">
        <w:trPr>
          <w:trHeight w:val="1406"/>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Среднесписочная численность работников малых и средних предприятий, включая </w:t>
            </w:r>
            <w:proofErr w:type="spellStart"/>
            <w:r>
              <w:t>микропредприятия</w:t>
            </w:r>
            <w:proofErr w:type="spellEnd"/>
            <w:r>
              <w:t xml:space="preserve"> </w:t>
            </w:r>
            <w:r>
              <w:br/>
              <w:t>(без внешних совместителей)</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тыс. человек</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112,2</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117,5</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116,7</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116,9</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117,6</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Оборот малых и средних предприятий, включая </w:t>
            </w:r>
            <w:proofErr w:type="spellStart"/>
            <w:r>
              <w:t>микропредприятия</w:t>
            </w:r>
            <w:proofErr w:type="spellEnd"/>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млрд руб. в ценах соответствующих лет</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544,7</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576,6</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605,5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621,2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641,4</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3DC7" w:rsidRDefault="00923625">
            <w:pPr>
              <w:jc w:val="center"/>
            </w:pPr>
            <w:r>
              <w:t>666,2</w:t>
            </w:r>
          </w:p>
        </w:tc>
      </w:tr>
      <w:tr w:rsidR="00023DC7">
        <w:trPr>
          <w:trHeight w:val="1412"/>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Доля среднесписочной численности работников на предприятиях малого и среднего предпринимательства в общей численности занятого населения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25,3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26,8</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26,3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26,0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25,7</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25,9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rPr>
                <w:b/>
              </w:rPr>
            </w:pPr>
          </w:p>
          <w:p w:rsidR="00023DC7" w:rsidRDefault="00923625">
            <w:pPr>
              <w:rPr>
                <w:b/>
              </w:rPr>
            </w:pPr>
            <w:r>
              <w:rPr>
                <w:b/>
              </w:rPr>
              <w:t>2.1.8. Прибыль прибыльных организаций</w:t>
            </w:r>
          </w:p>
          <w:p w:rsidR="00023DC7" w:rsidRDefault="00023DC7">
            <w:pPr>
              <w:rPr>
                <w:b/>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млн рублей</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rPr>
                <w:shd w:val="clear" w:color="auto" w:fill="FFD821"/>
              </w:rPr>
            </w:pPr>
          </w:p>
          <w:p w:rsidR="00023DC7" w:rsidRDefault="00923625">
            <w:pPr>
              <w:jc w:val="center"/>
            </w:pPr>
            <w:r>
              <w:t>28 515,6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31 432,2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32 250,0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33 210,0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34 380,0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923625">
            <w:pPr>
              <w:jc w:val="center"/>
            </w:pPr>
            <w:r>
              <w:t>35 790,0</w:t>
            </w:r>
          </w:p>
        </w:tc>
      </w:tr>
      <w:tr w:rsidR="00023DC7">
        <w:trPr>
          <w:trHeight w:val="9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rPr>
                <w:b/>
              </w:rPr>
            </w:pPr>
            <w:r>
              <w:rPr>
                <w:b/>
              </w:rPr>
              <w:lastRenderedPageBreak/>
              <w:t>2.1.9. Производство подакцизных товаров в натуральном выражении:</w:t>
            </w:r>
          </w:p>
          <w:p w:rsidR="00023DC7" w:rsidRDefault="00023DC7">
            <w:pPr>
              <w:rPr>
                <w:b/>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w:t>
            </w:r>
          </w:p>
        </w:tc>
      </w:tr>
      <w:tr w:rsidR="00023DC7">
        <w:trPr>
          <w:trHeight w:val="49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Водка и ликеро-водочные изделия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тыс. </w:t>
            </w:r>
            <w:proofErr w:type="spellStart"/>
            <w:r>
              <w:t>дкл</w:t>
            </w:r>
            <w:proofErr w:type="spellEnd"/>
            <w:r>
              <w: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278,3</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417,1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370,0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Пиво и напитки, изготавливаемые на основе пива</w:t>
            </w:r>
          </w:p>
          <w:p w:rsidR="00023DC7" w:rsidRDefault="00023DC7">
            <w:pPr>
              <w:ind w:firstLine="240"/>
            </w:pP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тыс. </w:t>
            </w:r>
            <w:proofErr w:type="spellStart"/>
            <w:r>
              <w:t>дкл</w:t>
            </w:r>
            <w:proofErr w:type="spellEnd"/>
            <w:r>
              <w: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6 909,6</w:t>
            </w:r>
          </w:p>
        </w:tc>
        <w:tc>
          <w:tcPr>
            <w:tcW w:w="1542"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7 054,0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5 000,0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5 100,0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5 150,0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5 200,0</w:t>
            </w:r>
          </w:p>
        </w:tc>
      </w:tr>
      <w:tr w:rsidR="00023DC7">
        <w:trPr>
          <w:trHeight w:val="750"/>
        </w:trPr>
        <w:tc>
          <w:tcPr>
            <w:tcW w:w="14477" w:type="dxa"/>
            <w:gridSpan w:val="9"/>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rPr>
                <w:b/>
              </w:rPr>
            </w:pPr>
            <w:r>
              <w:rPr>
                <w:b/>
              </w:rPr>
              <w:t>Подраздел 2.2. Показатели, характеризующие уровень жизни населения Ивановской области</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Численность постоянного населения (среднегодовая), всего</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тыс. человек</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981,9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919,4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910,3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902,9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895,7</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888,9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rPr>
                <w:b/>
              </w:rPr>
            </w:pPr>
            <w:r>
              <w:t> Темп роста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99,0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93,6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99,0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99,2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99,2</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99,2</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Среднегодовая численность занятых в экономике</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тыс. человек</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rPr>
                <w:highlight w:val="yellow"/>
              </w:rPr>
            </w:pPr>
            <w:r>
              <w:t>443,4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rPr>
                <w:highlight w:val="yellow"/>
              </w:rPr>
            </w:pPr>
            <w:r>
              <w:t>439,2**</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443,5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449,0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455,0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455,0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Фонд начисленной заработной платы всех работников</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xml:space="preserve">млн руб. </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93 244,5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100 586,0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107 644,8</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113 788,4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120 797,1</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128 898,6</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 xml:space="preserve">Среднесписочная численность работников организаций </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тыс. человек</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239,8</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230,4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224,0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221,0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219,7</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219,9</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Среднемесячная номинальная заработная плата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рублей</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32 402,6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36 379,9</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40 054,3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42 898,1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45 815,2</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48 839,0</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r>
              <w:t>    Темп роста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111,4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112,3</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110,1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107,1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106,8</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106,6</w:t>
            </w:r>
          </w:p>
        </w:tc>
      </w:tr>
      <w:tr w:rsidR="00023DC7">
        <w:trPr>
          <w:trHeight w:val="1889"/>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lastRenderedPageBreak/>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рублей</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25 909,0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28 110,0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30 218,3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32 363,7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34 564,5</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023DC7">
            <w:pPr>
              <w:jc w:val="center"/>
            </w:pPr>
          </w:p>
          <w:p w:rsidR="00023DC7" w:rsidRDefault="00923625">
            <w:pPr>
              <w:jc w:val="center"/>
            </w:pPr>
            <w:r>
              <w:t>36 845,7</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r>
              <w:t>     Темп роста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 к предыдущему году</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108,5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107,5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107,1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106,8</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106,6</w:t>
            </w:r>
          </w:p>
        </w:tc>
      </w:tr>
      <w:tr w:rsidR="00023DC7">
        <w:trPr>
          <w:trHeight w:val="1445"/>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Численность безработных, зарегистрированных в государственных учреждениях службы занятости населения                (на конец года)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тыс. человек</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3,8</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2,6</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2,1</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2,1</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023DC7">
            <w:pPr>
              <w:jc w:val="center"/>
            </w:pPr>
          </w:p>
          <w:p w:rsidR="00023DC7" w:rsidRDefault="00023DC7">
            <w:pPr>
              <w:jc w:val="center"/>
            </w:pPr>
          </w:p>
          <w:p w:rsidR="00023DC7" w:rsidRDefault="00923625">
            <w:pPr>
              <w:jc w:val="center"/>
            </w:pPr>
            <w:r>
              <w:t>2,1</w:t>
            </w:r>
          </w:p>
        </w:tc>
      </w:tr>
      <w:tr w:rsidR="00023DC7">
        <w:trPr>
          <w:trHeight w:val="630"/>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Уровень зарегистрированной безработицы (на конец года)</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0,7</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0,5</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0,4</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0,4</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0,4</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0,4</w:t>
            </w:r>
          </w:p>
        </w:tc>
      </w:tr>
      <w:tr w:rsidR="00023DC7">
        <w:trPr>
          <w:trHeight w:val="782"/>
        </w:trPr>
        <w:tc>
          <w:tcPr>
            <w:tcW w:w="3625"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ind w:firstLine="240"/>
            </w:pPr>
            <w:r>
              <w:t>Величина прожиточного минимума на душу населения</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рублей/месяц</w:t>
            </w:r>
          </w:p>
        </w:tc>
        <w:tc>
          <w:tcPr>
            <w:tcW w:w="1617" w:type="dxa"/>
            <w:gridSpan w:val="2"/>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10 761,0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12 806,0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13 369,0</w:t>
            </w:r>
          </w:p>
        </w:tc>
        <w:tc>
          <w:tcPr>
            <w:tcW w:w="1388"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14 526,0</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15 908,0</w:t>
            </w:r>
          </w:p>
        </w:tc>
        <w:tc>
          <w:tcPr>
            <w:tcW w:w="1527" w:type="dxa"/>
            <w:tcBorders>
              <w:top w:val="single" w:sz="4" w:space="0" w:color="000000"/>
              <w:left w:val="single" w:sz="4" w:space="0" w:color="000000"/>
              <w:bottom w:val="single" w:sz="4" w:space="0" w:color="000000"/>
              <w:right w:val="single" w:sz="4" w:space="0" w:color="000000"/>
            </w:tcBorders>
            <w:shd w:val="clear" w:color="auto" w:fill="auto"/>
          </w:tcPr>
          <w:p w:rsidR="00023DC7" w:rsidRDefault="00923625">
            <w:pPr>
              <w:jc w:val="center"/>
            </w:pPr>
            <w:r>
              <w:t>17 550,0</w:t>
            </w:r>
          </w:p>
        </w:tc>
      </w:tr>
    </w:tbl>
    <w:p w:rsidR="00023DC7" w:rsidRDefault="00023DC7">
      <w:pPr>
        <w:rPr>
          <w:sz w:val="16"/>
        </w:rPr>
      </w:pPr>
    </w:p>
    <w:p w:rsidR="00023DC7" w:rsidRDefault="00023DC7">
      <w:pPr>
        <w:ind w:firstLine="709"/>
      </w:pPr>
    </w:p>
    <w:p w:rsidR="00023DC7" w:rsidRDefault="00923625">
      <w:pPr>
        <w:ind w:firstLine="709"/>
      </w:pPr>
      <w:r>
        <w:t>* Предварительные данные Росстата.</w:t>
      </w:r>
    </w:p>
    <w:p w:rsidR="00023DC7" w:rsidRDefault="00923625">
      <w:pPr>
        <w:ind w:firstLine="709"/>
      </w:pPr>
      <w:r>
        <w:t>** Оценка.</w:t>
      </w:r>
    </w:p>
    <w:p w:rsidR="00023DC7" w:rsidRDefault="00923625">
      <w:pPr>
        <w:ind w:firstLine="709"/>
        <w:jc w:val="both"/>
      </w:pPr>
      <w:r>
        <w:t xml:space="preserve">*** </w:t>
      </w:r>
      <w:r>
        <w:rPr>
          <w:rStyle w:val="1fa"/>
        </w:rPr>
        <w:t>По информации АО «Шуйская водка» в связи со сложной макроэкономической ситуацией в отрасли (и смежных отраслях) прогнозирование показателя по производству водки и ликеро-водочных изделий в среднесрочном периоде не представляется возможным.</w:t>
      </w:r>
    </w:p>
    <w:p w:rsidR="00023DC7" w:rsidRDefault="00023DC7">
      <w:pPr>
        <w:rPr>
          <w:sz w:val="28"/>
          <w:shd w:val="clear" w:color="auto" w:fill="FFD821"/>
        </w:rPr>
      </w:pPr>
    </w:p>
    <w:sectPr w:rsidR="00023DC7">
      <w:headerReference w:type="default" r:id="rId10"/>
      <w:footerReference w:type="default" r:id="rId11"/>
      <w:pgSz w:w="16838" w:h="11906" w:orient="landscape"/>
      <w:pgMar w:top="1701" w:right="1134" w:bottom="1276"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806" w:rsidRDefault="00573806">
      <w:r>
        <w:separator/>
      </w:r>
    </w:p>
  </w:endnote>
  <w:endnote w:type="continuationSeparator" w:id="0">
    <w:p w:rsidR="00573806" w:rsidRDefault="0057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C7" w:rsidRDefault="00023DC7">
    <w:pPr>
      <w:pStyle w:val="af4"/>
      <w:rPr>
        <w:rFonts w:ascii="Courier New" w:hAnsi="Courier New"/>
        <w:i/>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C7" w:rsidRDefault="00023DC7">
    <w:pPr>
      <w:pStyle w:val="af4"/>
      <w:rPr>
        <w:rFonts w:ascii="Courier New" w:hAnsi="Courier New"/>
        <w:i/>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806" w:rsidRDefault="00573806">
      <w:r>
        <w:separator/>
      </w:r>
    </w:p>
  </w:footnote>
  <w:footnote w:type="continuationSeparator" w:id="0">
    <w:p w:rsidR="00573806" w:rsidRDefault="0057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C7" w:rsidRDefault="00923625">
    <w:pPr>
      <w:framePr w:wrap="around" w:vAnchor="text" w:hAnchor="margin" w:xAlign="center" w:y="1"/>
    </w:pPr>
    <w:r>
      <w:fldChar w:fldCharType="begin"/>
    </w:r>
    <w:r>
      <w:instrText xml:space="preserve">PAGE </w:instrText>
    </w:r>
    <w:r>
      <w:fldChar w:fldCharType="separate"/>
    </w:r>
    <w:r w:rsidR="00E8412B">
      <w:rPr>
        <w:noProof/>
      </w:rPr>
      <w:t>2</w:t>
    </w:r>
    <w:r>
      <w:fldChar w:fldCharType="end"/>
    </w:r>
  </w:p>
  <w:p w:rsidR="00023DC7" w:rsidRDefault="00023DC7">
    <w:pPr>
      <w:pStyle w:val="ad"/>
      <w:jc w:val="center"/>
    </w:pPr>
  </w:p>
  <w:p w:rsidR="00023DC7" w:rsidRDefault="00023DC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C7" w:rsidRDefault="00923625">
    <w:pPr>
      <w:framePr w:wrap="around" w:vAnchor="text" w:hAnchor="margin" w:xAlign="center" w:y="1"/>
    </w:pPr>
    <w:r>
      <w:fldChar w:fldCharType="begin"/>
    </w:r>
    <w:r>
      <w:instrText xml:space="preserve">PAGE </w:instrText>
    </w:r>
    <w:r>
      <w:fldChar w:fldCharType="separate"/>
    </w:r>
    <w:r w:rsidR="00E8412B">
      <w:rPr>
        <w:noProof/>
      </w:rPr>
      <w:t>22</w:t>
    </w:r>
    <w:r>
      <w:fldChar w:fldCharType="end"/>
    </w:r>
  </w:p>
  <w:p w:rsidR="00023DC7" w:rsidRDefault="00023DC7">
    <w:pPr>
      <w:pStyle w:val="ad"/>
      <w:jc w:val="center"/>
    </w:pPr>
  </w:p>
  <w:p w:rsidR="00023DC7" w:rsidRDefault="00023DC7">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DC7"/>
    <w:rsid w:val="00023DC7"/>
    <w:rsid w:val="00573806"/>
    <w:rsid w:val="00923625"/>
    <w:rsid w:val="00A60AEC"/>
    <w:rsid w:val="00DB3AC0"/>
    <w:rsid w:val="00E8412B"/>
    <w:rsid w:val="00F86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79D2FB-193D-4AF2-8509-8B54538D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paragraph" w:styleId="7">
    <w:name w:val="heading 7"/>
    <w:basedOn w:val="a"/>
    <w:next w:val="a"/>
    <w:link w:val="70"/>
    <w:uiPriority w:val="9"/>
    <w:qFormat/>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10">
    <w:name w:val="Основной текст 21"/>
    <w:basedOn w:val="a"/>
    <w:link w:val="211"/>
    <w:pPr>
      <w:spacing w:line="360" w:lineRule="auto"/>
      <w:ind w:left="360"/>
      <w:jc w:val="both"/>
    </w:pPr>
    <w:rPr>
      <w:rFonts w:ascii="Arial" w:hAnsi="Arial"/>
    </w:rPr>
  </w:style>
  <w:style w:type="character" w:customStyle="1" w:styleId="211">
    <w:name w:val="Основной текст 21"/>
    <w:basedOn w:val="1"/>
    <w:link w:val="210"/>
    <w:rPr>
      <w:rFonts w:ascii="Arial" w:hAnsi="Arial"/>
      <w:sz w:val="24"/>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sz w:val="24"/>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xl82">
    <w:name w:val="xl82"/>
    <w:basedOn w:val="a"/>
    <w:link w:val="xl820"/>
    <w:pPr>
      <w:spacing w:beforeAutospacing="1" w:afterAutospacing="1"/>
      <w:jc w:val="right"/>
    </w:pPr>
  </w:style>
  <w:style w:type="character" w:customStyle="1" w:styleId="xl820">
    <w:name w:val="xl82"/>
    <w:basedOn w:val="1"/>
    <w:link w:val="xl82"/>
    <w:rPr>
      <w:sz w:val="24"/>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14">
    <w:name w:val="Знак1 Знак Знак Знак Знак Знак Знак"/>
    <w:basedOn w:val="a"/>
    <w:link w:val="15"/>
    <w:pPr>
      <w:spacing w:after="160" w:line="240" w:lineRule="exact"/>
    </w:pPr>
    <w:rPr>
      <w:rFonts w:ascii="Verdana" w:hAnsi="Verdana"/>
    </w:rPr>
  </w:style>
  <w:style w:type="character" w:customStyle="1" w:styleId="15">
    <w:name w:val="Знак1 Знак Знак Знак Знак Знак Знак"/>
    <w:basedOn w:val="1"/>
    <w:link w:val="14"/>
    <w:rPr>
      <w:rFonts w:ascii="Verdana" w:hAnsi="Verdana"/>
      <w:sz w:val="24"/>
    </w:rPr>
  </w:style>
  <w:style w:type="paragraph" w:styleId="a3">
    <w:name w:val="endnote text"/>
    <w:basedOn w:val="a"/>
    <w:link w:val="a4"/>
    <w:rPr>
      <w:rFonts w:ascii="Calibri" w:hAnsi="Calibri"/>
      <w:sz w:val="20"/>
    </w:rPr>
  </w:style>
  <w:style w:type="character" w:customStyle="1" w:styleId="a4">
    <w:name w:val="Текст концевой сноски Знак"/>
    <w:basedOn w:val="1"/>
    <w:link w:val="a3"/>
    <w:rPr>
      <w:rFonts w:ascii="Calibri" w:hAnsi="Calibri"/>
      <w:sz w:val="20"/>
    </w:rPr>
  </w:style>
  <w:style w:type="paragraph" w:customStyle="1" w:styleId="23">
    <w:name w:val="Основной шрифт абзаца2"/>
  </w:style>
  <w:style w:type="paragraph" w:customStyle="1" w:styleId="ConsPlusNormal">
    <w:name w:val="ConsPlusNormal"/>
    <w:link w:val="ConsPlusNormal0"/>
    <w:pPr>
      <w:ind w:firstLine="720"/>
    </w:pPr>
    <w:rPr>
      <w:rFonts w:ascii="Arial" w:hAnsi="Arial"/>
    </w:rPr>
  </w:style>
  <w:style w:type="character" w:customStyle="1" w:styleId="ConsPlusNormal0">
    <w:name w:val="ConsPlusNormal"/>
    <w:link w:val="ConsPlusNormal"/>
    <w:rPr>
      <w:rFonts w:ascii="Arial" w:hAnsi="Arial"/>
    </w:rPr>
  </w:style>
  <w:style w:type="character" w:customStyle="1" w:styleId="30">
    <w:name w:val="Заголовок 3 Знак"/>
    <w:link w:val="3"/>
    <w:rPr>
      <w:rFonts w:ascii="XO Thames" w:hAnsi="XO Thames"/>
      <w:b/>
      <w:sz w:val="26"/>
    </w:rPr>
  </w:style>
  <w:style w:type="paragraph" w:styleId="a5">
    <w:name w:val="Normal (Web)"/>
    <w:basedOn w:val="a"/>
    <w:link w:val="a6"/>
    <w:pPr>
      <w:spacing w:beforeAutospacing="1" w:afterAutospacing="1"/>
    </w:pPr>
  </w:style>
  <w:style w:type="character" w:customStyle="1" w:styleId="a6">
    <w:name w:val="Обычный (веб) Знак"/>
    <w:basedOn w:val="1"/>
    <w:link w:val="a5"/>
    <w:rPr>
      <w:sz w:val="24"/>
    </w:rPr>
  </w:style>
  <w:style w:type="paragraph" w:customStyle="1" w:styleId="xl69">
    <w:name w:val="xl69"/>
    <w:basedOn w:val="a"/>
    <w:link w:val="xl690"/>
    <w:pPr>
      <w:spacing w:beforeAutospacing="1" w:afterAutospacing="1"/>
    </w:pPr>
  </w:style>
  <w:style w:type="character" w:customStyle="1" w:styleId="xl690">
    <w:name w:val="xl69"/>
    <w:basedOn w:val="1"/>
    <w:link w:val="xl69"/>
    <w:rPr>
      <w:sz w:val="24"/>
    </w:rPr>
  </w:style>
  <w:style w:type="paragraph" w:styleId="24">
    <w:name w:val="Body Text 2"/>
    <w:basedOn w:val="a"/>
    <w:link w:val="25"/>
    <w:pPr>
      <w:spacing w:after="120" w:line="480" w:lineRule="auto"/>
    </w:pPr>
    <w:rPr>
      <w:sz w:val="20"/>
    </w:rPr>
  </w:style>
  <w:style w:type="character" w:customStyle="1" w:styleId="25">
    <w:name w:val="Основной текст 2 Знак"/>
    <w:basedOn w:val="1"/>
    <w:link w:val="24"/>
    <w:rPr>
      <w:sz w:val="20"/>
    </w:rPr>
  </w:style>
  <w:style w:type="paragraph" w:customStyle="1" w:styleId="lead">
    <w:name w:val="lead"/>
    <w:basedOn w:val="a"/>
    <w:link w:val="lead0"/>
    <w:pPr>
      <w:spacing w:beforeAutospacing="1" w:afterAutospacing="1"/>
    </w:pPr>
  </w:style>
  <w:style w:type="character" w:customStyle="1" w:styleId="lead0">
    <w:name w:val="lead"/>
    <w:basedOn w:val="1"/>
    <w:link w:val="lead"/>
    <w:rPr>
      <w:sz w:val="24"/>
    </w:rPr>
  </w:style>
  <w:style w:type="paragraph" w:customStyle="1" w:styleId="xl80">
    <w:name w:val="xl80"/>
    <w:basedOn w:val="a"/>
    <w:link w:val="xl800"/>
    <w:pPr>
      <w:spacing w:beforeAutospacing="1" w:afterAutospacing="1"/>
      <w:jc w:val="right"/>
    </w:pPr>
  </w:style>
  <w:style w:type="character" w:customStyle="1" w:styleId="xl800">
    <w:name w:val="xl80"/>
    <w:basedOn w:val="1"/>
    <w:link w:val="xl80"/>
    <w:rPr>
      <w:sz w:val="24"/>
    </w:rPr>
  </w:style>
  <w:style w:type="paragraph" w:customStyle="1" w:styleId="26">
    <w:name w:val="Основной текст 2 Знак Знак Знак"/>
    <w:link w:val="27"/>
  </w:style>
  <w:style w:type="character" w:customStyle="1" w:styleId="27">
    <w:name w:val="Основной текст 2 Знак Знак Знак"/>
    <w:link w:val="26"/>
  </w:style>
  <w:style w:type="paragraph" w:styleId="a7">
    <w:name w:val="List Paragraph"/>
    <w:basedOn w:val="a"/>
    <w:link w:val="a8"/>
    <w:pPr>
      <w:spacing w:after="200" w:line="276" w:lineRule="auto"/>
      <w:ind w:left="720"/>
    </w:pPr>
    <w:rPr>
      <w:rFonts w:ascii="Calibri" w:hAnsi="Calibri"/>
      <w:sz w:val="22"/>
    </w:rPr>
  </w:style>
  <w:style w:type="character" w:customStyle="1" w:styleId="a8">
    <w:name w:val="Абзац списка Знак"/>
    <w:basedOn w:val="1"/>
    <w:link w:val="a7"/>
    <w:rPr>
      <w:rFonts w:ascii="Calibri" w:hAnsi="Calibri"/>
      <w:sz w:val="22"/>
    </w:rPr>
  </w:style>
  <w:style w:type="paragraph" w:styleId="a9">
    <w:name w:val="Balloon Text"/>
    <w:basedOn w:val="a"/>
    <w:link w:val="aa"/>
    <w:rPr>
      <w:rFonts w:ascii="Tahoma" w:hAnsi="Tahoma"/>
      <w:sz w:val="16"/>
    </w:rPr>
  </w:style>
  <w:style w:type="character" w:customStyle="1" w:styleId="aa">
    <w:name w:val="Текст выноски Знак"/>
    <w:basedOn w:val="1"/>
    <w:link w:val="a9"/>
    <w:rPr>
      <w:rFonts w:ascii="Tahoma" w:hAnsi="Tahoma"/>
      <w:sz w:val="16"/>
    </w:rPr>
  </w:style>
  <w:style w:type="paragraph" w:customStyle="1" w:styleId="16">
    <w:name w:val="Выделение1"/>
    <w:link w:val="17"/>
    <w:rPr>
      <w:i/>
    </w:rPr>
  </w:style>
  <w:style w:type="character" w:customStyle="1" w:styleId="17">
    <w:name w:val="Выделение1"/>
    <w:link w:val="16"/>
    <w:rPr>
      <w:i/>
    </w:rPr>
  </w:style>
  <w:style w:type="paragraph" w:customStyle="1" w:styleId="ab">
    <w:name w:val="Знак Знак"/>
    <w:basedOn w:val="a"/>
    <w:link w:val="ac"/>
    <w:pPr>
      <w:spacing w:after="160" w:line="240" w:lineRule="exact"/>
    </w:pPr>
    <w:rPr>
      <w:rFonts w:ascii="Verdana" w:hAnsi="Verdana"/>
      <w:sz w:val="20"/>
    </w:rPr>
  </w:style>
  <w:style w:type="character" w:customStyle="1" w:styleId="ac">
    <w:name w:val="Знак Знак"/>
    <w:basedOn w:val="1"/>
    <w:link w:val="ab"/>
    <w:rPr>
      <w:rFonts w:ascii="Verdana" w:hAnsi="Verdana"/>
      <w:sz w:val="20"/>
    </w:rPr>
  </w:style>
  <w:style w:type="paragraph" w:styleId="ad">
    <w:name w:val="header"/>
    <w:basedOn w:val="a"/>
    <w:link w:val="ae"/>
    <w:pPr>
      <w:tabs>
        <w:tab w:val="center" w:pos="4677"/>
        <w:tab w:val="right" w:pos="9355"/>
      </w:tabs>
    </w:pPr>
  </w:style>
  <w:style w:type="character" w:customStyle="1" w:styleId="ae">
    <w:name w:val="Верхний колонтитул Знак"/>
    <w:basedOn w:val="1"/>
    <w:link w:val="ad"/>
    <w:rPr>
      <w:sz w:val="24"/>
    </w:rPr>
  </w:style>
  <w:style w:type="paragraph" w:customStyle="1" w:styleId="xl67">
    <w:name w:val="xl67"/>
    <w:basedOn w:val="a"/>
    <w:link w:val="xl670"/>
    <w:pPr>
      <w:spacing w:beforeAutospacing="1" w:afterAutospacing="1"/>
      <w:ind w:firstLine="100"/>
    </w:pPr>
  </w:style>
  <w:style w:type="character" w:customStyle="1" w:styleId="xl670">
    <w:name w:val="xl67"/>
    <w:basedOn w:val="1"/>
    <w:link w:val="xl67"/>
    <w:rPr>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f">
    <w:name w:val="Body Text"/>
    <w:basedOn w:val="a"/>
    <w:link w:val="af0"/>
    <w:rPr>
      <w:sz w:val="44"/>
    </w:rPr>
  </w:style>
  <w:style w:type="character" w:customStyle="1" w:styleId="af0">
    <w:name w:val="Основной текст Знак"/>
    <w:basedOn w:val="1"/>
    <w:link w:val="af"/>
    <w:rPr>
      <w:sz w:val="44"/>
    </w:rPr>
  </w:style>
  <w:style w:type="paragraph" w:customStyle="1" w:styleId="xl66">
    <w:name w:val="xl66"/>
    <w:basedOn w:val="a"/>
    <w:link w:val="xl660"/>
    <w:pPr>
      <w:spacing w:beforeAutospacing="1" w:afterAutospacing="1"/>
    </w:pPr>
    <w:rPr>
      <w:rFonts w:ascii="Arial" w:hAnsi="Arial"/>
    </w:rPr>
  </w:style>
  <w:style w:type="character" w:customStyle="1" w:styleId="xl660">
    <w:name w:val="xl66"/>
    <w:basedOn w:val="1"/>
    <w:link w:val="xl66"/>
    <w:rPr>
      <w:rFonts w:ascii="Arial" w:hAnsi="Arial"/>
      <w:sz w:val="24"/>
    </w:rPr>
  </w:style>
  <w:style w:type="paragraph" w:customStyle="1" w:styleId="18">
    <w:name w:val="Обычный1"/>
    <w:link w:val="19"/>
    <w:rPr>
      <w:sz w:val="24"/>
    </w:rPr>
  </w:style>
  <w:style w:type="character" w:customStyle="1" w:styleId="19">
    <w:name w:val="Обычный1"/>
    <w:link w:val="18"/>
    <w:rPr>
      <w:sz w:val="24"/>
    </w:rPr>
  </w:style>
  <w:style w:type="paragraph" w:customStyle="1" w:styleId="xl65">
    <w:name w:val="xl65"/>
    <w:basedOn w:val="a"/>
    <w:link w:val="xl650"/>
    <w:pPr>
      <w:spacing w:beforeAutospacing="1" w:afterAutospacing="1"/>
    </w:pPr>
    <w:rPr>
      <w:b/>
    </w:rPr>
  </w:style>
  <w:style w:type="character" w:customStyle="1" w:styleId="xl650">
    <w:name w:val="xl65"/>
    <w:basedOn w:val="1"/>
    <w:link w:val="xl65"/>
    <w:rPr>
      <w:b/>
      <w:sz w:val="24"/>
    </w:rPr>
  </w:style>
  <w:style w:type="paragraph" w:styleId="28">
    <w:name w:val="Body Text Indent 2"/>
    <w:basedOn w:val="a"/>
    <w:link w:val="29"/>
    <w:pPr>
      <w:spacing w:after="120" w:line="480" w:lineRule="auto"/>
      <w:ind w:left="283"/>
    </w:pPr>
  </w:style>
  <w:style w:type="character" w:customStyle="1" w:styleId="29">
    <w:name w:val="Основной текст с отступом 2 Знак"/>
    <w:basedOn w:val="1"/>
    <w:link w:val="28"/>
    <w:rPr>
      <w:sz w:val="24"/>
    </w:rPr>
  </w:style>
  <w:style w:type="paragraph" w:customStyle="1" w:styleId="xl72">
    <w:name w:val="xl72"/>
    <w:basedOn w:val="a"/>
    <w:link w:val="xl720"/>
    <w:pPr>
      <w:spacing w:beforeAutospacing="1" w:afterAutospacing="1"/>
    </w:pPr>
  </w:style>
  <w:style w:type="character" w:customStyle="1" w:styleId="xl720">
    <w:name w:val="xl72"/>
    <w:basedOn w:val="1"/>
    <w:link w:val="xl72"/>
    <w:rPr>
      <w:sz w:val="24"/>
    </w:rPr>
  </w:style>
  <w:style w:type="paragraph" w:customStyle="1" w:styleId="xl79">
    <w:name w:val="xl79"/>
    <w:basedOn w:val="a"/>
    <w:link w:val="xl790"/>
    <w:pPr>
      <w:spacing w:beforeAutospacing="1" w:afterAutospacing="1"/>
    </w:pPr>
  </w:style>
  <w:style w:type="character" w:customStyle="1" w:styleId="xl790">
    <w:name w:val="xl79"/>
    <w:basedOn w:val="1"/>
    <w:link w:val="xl79"/>
    <w:rPr>
      <w:sz w:val="24"/>
    </w:rPr>
  </w:style>
  <w:style w:type="character" w:customStyle="1" w:styleId="50">
    <w:name w:val="Заголовок 5 Знак"/>
    <w:link w:val="5"/>
    <w:rPr>
      <w:rFonts w:ascii="XO Thames" w:hAnsi="XO Thames"/>
      <w:b/>
      <w:sz w:val="22"/>
    </w:rPr>
  </w:style>
  <w:style w:type="paragraph" w:customStyle="1" w:styleId="xl64">
    <w:name w:val="xl64"/>
    <w:basedOn w:val="a"/>
    <w:link w:val="xl640"/>
    <w:pPr>
      <w:spacing w:beforeAutospacing="1" w:afterAutospacing="1"/>
      <w:jc w:val="center"/>
    </w:pPr>
    <w:rPr>
      <w:b/>
    </w:rPr>
  </w:style>
  <w:style w:type="character" w:customStyle="1" w:styleId="xl640">
    <w:name w:val="xl64"/>
    <w:basedOn w:val="1"/>
    <w:link w:val="xl64"/>
    <w:rPr>
      <w:b/>
      <w:sz w:val="24"/>
    </w:rPr>
  </w:style>
  <w:style w:type="paragraph" w:customStyle="1" w:styleId="af1">
    <w:name w:val="Знак Знак Знак Знак Знак"/>
    <w:basedOn w:val="a"/>
    <w:link w:val="af2"/>
    <w:pPr>
      <w:spacing w:after="160" w:line="240" w:lineRule="exact"/>
    </w:pPr>
    <w:rPr>
      <w:rFonts w:ascii="Verdana" w:hAnsi="Verdana"/>
    </w:rPr>
  </w:style>
  <w:style w:type="character" w:customStyle="1" w:styleId="af2">
    <w:name w:val="Знак Знак Знак Знак Знак"/>
    <w:basedOn w:val="1"/>
    <w:link w:val="af1"/>
    <w:rPr>
      <w:rFonts w:ascii="Verdana" w:hAnsi="Verdana"/>
      <w:sz w:val="24"/>
    </w:rPr>
  </w:style>
  <w:style w:type="character" w:customStyle="1" w:styleId="11">
    <w:name w:val="Заголовок 1 Знак"/>
    <w:link w:val="10"/>
    <w:rPr>
      <w:rFonts w:ascii="XO Thames" w:hAnsi="XO Thames"/>
      <w:b/>
      <w:sz w:val="32"/>
    </w:rPr>
  </w:style>
  <w:style w:type="paragraph" w:customStyle="1" w:styleId="Default">
    <w:name w:val="Default"/>
    <w:link w:val="Default0"/>
    <w:rPr>
      <w:sz w:val="24"/>
    </w:rPr>
  </w:style>
  <w:style w:type="character" w:customStyle="1" w:styleId="Default0">
    <w:name w:val="Default"/>
    <w:link w:val="Default"/>
    <w:rPr>
      <w:sz w:val="24"/>
    </w:rPr>
  </w:style>
  <w:style w:type="paragraph" w:customStyle="1" w:styleId="xl68">
    <w:name w:val="xl68"/>
    <w:basedOn w:val="a"/>
    <w:link w:val="xl680"/>
    <w:pPr>
      <w:spacing w:beforeAutospacing="1" w:afterAutospacing="1"/>
      <w:jc w:val="center"/>
    </w:pPr>
  </w:style>
  <w:style w:type="character" w:customStyle="1" w:styleId="xl680">
    <w:name w:val="xl68"/>
    <w:basedOn w:val="1"/>
    <w:link w:val="xl68"/>
    <w:rPr>
      <w:sz w:val="24"/>
    </w:rPr>
  </w:style>
  <w:style w:type="paragraph" w:customStyle="1" w:styleId="layout">
    <w:name w:val="layout"/>
    <w:basedOn w:val="1a"/>
    <w:link w:val="layout0"/>
  </w:style>
  <w:style w:type="character" w:customStyle="1" w:styleId="layout0">
    <w:name w:val="layout"/>
    <w:basedOn w:val="1b"/>
    <w:link w:val="layout"/>
  </w:style>
  <w:style w:type="paragraph" w:customStyle="1" w:styleId="1c">
    <w:name w:val="Знак Знак Знак Знак Знак Знак1 Знак"/>
    <w:link w:val="1d"/>
    <w:pPr>
      <w:spacing w:beforeAutospacing="1" w:afterAutospacing="1"/>
    </w:pPr>
    <w:rPr>
      <w:rFonts w:ascii="Tahoma" w:hAnsi="Tahoma"/>
    </w:rPr>
  </w:style>
  <w:style w:type="character" w:customStyle="1" w:styleId="1d">
    <w:name w:val="Знак Знак Знак Знак Знак Знак1 Знак"/>
    <w:link w:val="1c"/>
    <w:rPr>
      <w:rFonts w:ascii="Tahoma" w:hAnsi="Tahoma"/>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1e">
    <w:name w:val="Гиперссылка1"/>
    <w:link w:val="af3"/>
    <w:rPr>
      <w:color w:val="0000FF"/>
      <w:u w:val="single"/>
    </w:rPr>
  </w:style>
  <w:style w:type="character" w:styleId="af3">
    <w:name w:val="Hyperlink"/>
    <w:link w:val="1e"/>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xl70">
    <w:name w:val="xl70"/>
    <w:basedOn w:val="a"/>
    <w:link w:val="xl700"/>
    <w:pPr>
      <w:spacing w:beforeAutospacing="1" w:afterAutospacing="1"/>
      <w:jc w:val="center"/>
    </w:pPr>
  </w:style>
  <w:style w:type="character" w:customStyle="1" w:styleId="xl700">
    <w:name w:val="xl70"/>
    <w:basedOn w:val="1"/>
    <w:link w:val="xl70"/>
    <w:rPr>
      <w:sz w:val="24"/>
    </w:rPr>
  </w:style>
  <w:style w:type="paragraph" w:styleId="1f">
    <w:name w:val="toc 1"/>
    <w:next w:val="a"/>
    <w:link w:val="1f0"/>
    <w:uiPriority w:val="39"/>
    <w:rPr>
      <w:rFonts w:ascii="XO Thames" w:hAnsi="XO Thames"/>
      <w:b/>
      <w:sz w:val="28"/>
    </w:rPr>
  </w:style>
  <w:style w:type="character" w:customStyle="1" w:styleId="1f0">
    <w:name w:val="Оглавление 1 Знак"/>
    <w:link w:val="1f"/>
    <w:rPr>
      <w:rFonts w:ascii="XO Thames" w:hAnsi="XO Thames"/>
      <w:b/>
      <w:sz w:val="28"/>
    </w:rPr>
  </w:style>
  <w:style w:type="paragraph" w:customStyle="1" w:styleId="1f1">
    <w:name w:val="Знак1 Знак Знак Знак"/>
    <w:basedOn w:val="a"/>
    <w:link w:val="1f2"/>
    <w:pPr>
      <w:spacing w:after="160" w:line="240" w:lineRule="exact"/>
    </w:pPr>
    <w:rPr>
      <w:rFonts w:ascii="Verdana" w:hAnsi="Verdana"/>
    </w:rPr>
  </w:style>
  <w:style w:type="character" w:customStyle="1" w:styleId="1f2">
    <w:name w:val="Знак1 Знак Знак Знак"/>
    <w:basedOn w:val="1"/>
    <w:link w:val="1f1"/>
    <w:rPr>
      <w:rFonts w:ascii="Verdana" w:hAnsi="Verdana"/>
      <w:sz w:val="24"/>
    </w:rPr>
  </w:style>
  <w:style w:type="paragraph" w:customStyle="1" w:styleId="xl81">
    <w:name w:val="xl81"/>
    <w:basedOn w:val="a"/>
    <w:link w:val="xl810"/>
    <w:pPr>
      <w:spacing w:beforeAutospacing="1" w:afterAutospacing="1"/>
      <w:jc w:val="right"/>
    </w:pPr>
  </w:style>
  <w:style w:type="character" w:customStyle="1" w:styleId="xl810">
    <w:name w:val="xl81"/>
    <w:basedOn w:val="1"/>
    <w:link w:val="xl81"/>
    <w:rPr>
      <w:sz w:val="24"/>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1f3">
    <w:name w:val="Номер страницы1"/>
    <w:link w:val="1f4"/>
  </w:style>
  <w:style w:type="character" w:customStyle="1" w:styleId="1f4">
    <w:name w:val="Номер страницы1"/>
    <w:link w:val="1f3"/>
  </w:style>
  <w:style w:type="paragraph" w:customStyle="1" w:styleId="FontStyle12">
    <w:name w:val="Font Style12"/>
    <w:link w:val="FontStyle120"/>
    <w:rPr>
      <w:sz w:val="24"/>
    </w:rPr>
  </w:style>
  <w:style w:type="character" w:customStyle="1" w:styleId="FontStyle120">
    <w:name w:val="Font Style12"/>
    <w:link w:val="FontStyle12"/>
    <w:rPr>
      <w:sz w:val="24"/>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styleId="af4">
    <w:name w:val="footer"/>
    <w:basedOn w:val="a"/>
    <w:link w:val="af5"/>
    <w:pPr>
      <w:tabs>
        <w:tab w:val="center" w:pos="4153"/>
        <w:tab w:val="right" w:pos="8306"/>
      </w:tabs>
    </w:pPr>
    <w:rPr>
      <w:sz w:val="20"/>
    </w:rPr>
  </w:style>
  <w:style w:type="character" w:customStyle="1" w:styleId="af5">
    <w:name w:val="Нижний колонтитул Знак"/>
    <w:basedOn w:val="1"/>
    <w:link w:val="af4"/>
    <w:rPr>
      <w:sz w:val="20"/>
    </w:rPr>
  </w:style>
  <w:style w:type="paragraph" w:customStyle="1" w:styleId="ConsNormal">
    <w:name w:val="ConsNormal"/>
    <w:link w:val="ConsNormal0"/>
    <w:pPr>
      <w:ind w:firstLine="720"/>
    </w:pPr>
    <w:rPr>
      <w:rFonts w:ascii="Consultant" w:hAnsi="Consultant"/>
    </w:rPr>
  </w:style>
  <w:style w:type="character" w:customStyle="1" w:styleId="ConsNormal0">
    <w:name w:val="ConsNormal"/>
    <w:link w:val="ConsNormal"/>
    <w:rPr>
      <w:rFonts w:ascii="Consultant" w:hAnsi="Consultant"/>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6">
    <w:name w:val="Body Text Indent"/>
    <w:basedOn w:val="a"/>
    <w:link w:val="af7"/>
    <w:pPr>
      <w:ind w:firstLine="720"/>
      <w:jc w:val="both"/>
    </w:pPr>
    <w:rPr>
      <w:sz w:val="28"/>
    </w:rPr>
  </w:style>
  <w:style w:type="character" w:customStyle="1" w:styleId="af7">
    <w:name w:val="Основной текст с отступом Знак"/>
    <w:basedOn w:val="1"/>
    <w:link w:val="af6"/>
    <w:rPr>
      <w:sz w:val="28"/>
    </w:rPr>
  </w:style>
  <w:style w:type="paragraph" w:customStyle="1" w:styleId="af8">
    <w:name w:val="Знак Знак Знак Знак Знак Знак Знак Знак Знак Знак Знак Знак Знак Знак Знак Знак Знак Знак"/>
    <w:basedOn w:val="a"/>
    <w:link w:val="af9"/>
    <w:pPr>
      <w:spacing w:after="160" w:line="240" w:lineRule="exact"/>
    </w:pPr>
    <w:rPr>
      <w:rFonts w:ascii="Verdana" w:hAnsi="Verdana"/>
    </w:rPr>
  </w:style>
  <w:style w:type="character" w:customStyle="1" w:styleId="af9">
    <w:name w:val="Знак Знак Знак Знак Знак Знак Знак Знак Знак Знак Знак Знак Знак Знак Знак Знак Знак Знак"/>
    <w:basedOn w:val="1"/>
    <w:link w:val="af8"/>
    <w:rPr>
      <w:rFonts w:ascii="Verdana" w:hAnsi="Verdana"/>
      <w:sz w:val="24"/>
    </w:rPr>
  </w:style>
  <w:style w:type="paragraph" w:customStyle="1" w:styleId="ConsNonformat">
    <w:name w:val="ConsNonformat"/>
    <w:link w:val="ConsNonformat0"/>
    <w:rPr>
      <w:rFonts w:ascii="Consultant" w:hAnsi="Consultant"/>
    </w:rPr>
  </w:style>
  <w:style w:type="character" w:customStyle="1" w:styleId="ConsNonformat0">
    <w:name w:val="ConsNonformat"/>
    <w:link w:val="ConsNonformat"/>
    <w:rPr>
      <w:rFonts w:ascii="Consultant" w:hAnsi="Consultant"/>
    </w:rPr>
  </w:style>
  <w:style w:type="paragraph" w:customStyle="1" w:styleId="xl76">
    <w:name w:val="xl76"/>
    <w:basedOn w:val="a"/>
    <w:link w:val="xl760"/>
    <w:pPr>
      <w:spacing w:beforeAutospacing="1" w:afterAutospacing="1"/>
      <w:jc w:val="center"/>
    </w:pPr>
    <w:rPr>
      <w:b/>
      <w:sz w:val="28"/>
    </w:rPr>
  </w:style>
  <w:style w:type="character" w:customStyle="1" w:styleId="xl760">
    <w:name w:val="xl76"/>
    <w:basedOn w:val="1"/>
    <w:link w:val="xl76"/>
    <w:rPr>
      <w:b/>
      <w:sz w:val="28"/>
    </w:rPr>
  </w:style>
  <w:style w:type="paragraph" w:customStyle="1" w:styleId="font6">
    <w:name w:val="font6"/>
    <w:basedOn w:val="a"/>
    <w:link w:val="font60"/>
    <w:pPr>
      <w:spacing w:beforeAutospacing="1" w:afterAutospacing="1"/>
    </w:pPr>
  </w:style>
  <w:style w:type="character" w:customStyle="1" w:styleId="font60">
    <w:name w:val="font6"/>
    <w:basedOn w:val="1"/>
    <w:link w:val="font6"/>
    <w:rPr>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xl71">
    <w:name w:val="xl71"/>
    <w:basedOn w:val="a"/>
    <w:link w:val="xl710"/>
    <w:pPr>
      <w:spacing w:beforeAutospacing="1" w:afterAutospacing="1"/>
    </w:pPr>
  </w:style>
  <w:style w:type="character" w:customStyle="1" w:styleId="xl710">
    <w:name w:val="xl71"/>
    <w:basedOn w:val="1"/>
    <w:link w:val="xl71"/>
    <w:rPr>
      <w:sz w:val="24"/>
    </w:rPr>
  </w:style>
  <w:style w:type="paragraph" w:customStyle="1" w:styleId="1f5">
    <w:name w:val="Просмотренная гиперссылка1"/>
    <w:basedOn w:val="1a"/>
    <w:link w:val="1f6"/>
    <w:rPr>
      <w:color w:val="800080"/>
      <w:u w:val="single"/>
    </w:rPr>
  </w:style>
  <w:style w:type="character" w:customStyle="1" w:styleId="1f6">
    <w:name w:val="Просмотренная гиперссылка1"/>
    <w:basedOn w:val="1b"/>
    <w:link w:val="1f5"/>
    <w:rPr>
      <w:color w:val="800080"/>
      <w:u w:val="single"/>
    </w:rPr>
  </w:style>
  <w:style w:type="paragraph" w:customStyle="1" w:styleId="xl73">
    <w:name w:val="xl73"/>
    <w:basedOn w:val="a"/>
    <w:link w:val="xl730"/>
    <w:pPr>
      <w:spacing w:beforeAutospacing="1" w:afterAutospacing="1"/>
      <w:jc w:val="center"/>
    </w:pPr>
    <w:rPr>
      <w:b/>
      <w:sz w:val="28"/>
    </w:rPr>
  </w:style>
  <w:style w:type="character" w:customStyle="1" w:styleId="xl730">
    <w:name w:val="xl73"/>
    <w:basedOn w:val="1"/>
    <w:link w:val="xl73"/>
    <w:rPr>
      <w:b/>
      <w:sz w:val="28"/>
    </w:rPr>
  </w:style>
  <w:style w:type="paragraph" w:customStyle="1" w:styleId="1f7">
    <w:name w:val="Строгий1"/>
    <w:link w:val="1f8"/>
    <w:rPr>
      <w:b/>
    </w:rPr>
  </w:style>
  <w:style w:type="character" w:customStyle="1" w:styleId="1f8">
    <w:name w:val="Строгий1"/>
    <w:link w:val="1f7"/>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xl77">
    <w:name w:val="xl77"/>
    <w:basedOn w:val="a"/>
    <w:link w:val="xl770"/>
    <w:pPr>
      <w:spacing w:beforeAutospacing="1" w:afterAutospacing="1"/>
      <w:jc w:val="center"/>
    </w:pPr>
    <w:rPr>
      <w:b/>
    </w:rPr>
  </w:style>
  <w:style w:type="character" w:customStyle="1" w:styleId="xl770">
    <w:name w:val="xl77"/>
    <w:basedOn w:val="1"/>
    <w:link w:val="xl77"/>
    <w:rPr>
      <w:b/>
      <w:sz w:val="24"/>
    </w:rPr>
  </w:style>
  <w:style w:type="paragraph" w:customStyle="1" w:styleId="afa">
    <w:name w:val="Знак Знак Знак Знак Знак Знак Знак Знак Знак Знак Знак Знак Знак Знак Знак"/>
    <w:basedOn w:val="a"/>
    <w:link w:val="afb"/>
    <w:pPr>
      <w:spacing w:after="160" w:line="240" w:lineRule="exact"/>
    </w:pPr>
    <w:rPr>
      <w:rFonts w:ascii="Verdana" w:hAnsi="Verdana"/>
    </w:rPr>
  </w:style>
  <w:style w:type="character" w:customStyle="1" w:styleId="afb">
    <w:name w:val="Знак Знак Знак Знак Знак Знак Знак Знак Знак Знак Знак Знак Знак Знак Знак"/>
    <w:basedOn w:val="1"/>
    <w:link w:val="afa"/>
    <w:rPr>
      <w:rFonts w:ascii="Verdana" w:hAnsi="Verdana"/>
      <w:sz w:val="24"/>
    </w:rPr>
  </w:style>
  <w:style w:type="paragraph" w:customStyle="1" w:styleId="xl74">
    <w:name w:val="xl74"/>
    <w:basedOn w:val="a"/>
    <w:link w:val="xl740"/>
    <w:pPr>
      <w:spacing w:beforeAutospacing="1" w:afterAutospacing="1"/>
      <w:jc w:val="center"/>
    </w:pPr>
    <w:rPr>
      <w:b/>
      <w:sz w:val="28"/>
    </w:rPr>
  </w:style>
  <w:style w:type="character" w:customStyle="1" w:styleId="xl740">
    <w:name w:val="xl74"/>
    <w:basedOn w:val="1"/>
    <w:link w:val="xl74"/>
    <w:rPr>
      <w:b/>
      <w:sz w:val="28"/>
    </w:rPr>
  </w:style>
  <w:style w:type="paragraph" w:customStyle="1" w:styleId="rvts13">
    <w:name w:val="rvts13"/>
    <w:link w:val="rvts130"/>
    <w:rPr>
      <w:rFonts w:ascii="Tahoma" w:hAnsi="Tahoma"/>
      <w:sz w:val="16"/>
    </w:rPr>
  </w:style>
  <w:style w:type="character" w:customStyle="1" w:styleId="rvts130">
    <w:name w:val="rvts13"/>
    <w:link w:val="rvts13"/>
    <w:rPr>
      <w:rFonts w:ascii="Tahoma" w:hAnsi="Tahoma"/>
      <w:sz w:val="16"/>
    </w:rPr>
  </w:style>
  <w:style w:type="paragraph" w:customStyle="1" w:styleId="310">
    <w:name w:val="Основной текст 31"/>
    <w:basedOn w:val="a"/>
    <w:link w:val="311"/>
    <w:pPr>
      <w:widowControl w:val="0"/>
      <w:spacing w:line="360" w:lineRule="auto"/>
      <w:jc w:val="both"/>
    </w:pPr>
    <w:rPr>
      <w:rFonts w:ascii="Courier New" w:hAnsi="Courier New"/>
      <w:sz w:val="26"/>
    </w:rPr>
  </w:style>
  <w:style w:type="character" w:customStyle="1" w:styleId="311">
    <w:name w:val="Основной текст 31"/>
    <w:basedOn w:val="1"/>
    <w:link w:val="310"/>
    <w:rPr>
      <w:rFonts w:ascii="Courier New" w:hAnsi="Courier New"/>
      <w:sz w:val="26"/>
    </w:rPr>
  </w:style>
  <w:style w:type="paragraph" w:customStyle="1" w:styleId="Footnote1">
    <w:name w:val="Footnote"/>
    <w:basedOn w:val="a"/>
    <w:link w:val="Footnote2"/>
    <w:rPr>
      <w:rFonts w:ascii="Calibri" w:hAnsi="Calibri"/>
      <w:sz w:val="20"/>
    </w:rPr>
  </w:style>
  <w:style w:type="character" w:customStyle="1" w:styleId="Footnote2">
    <w:name w:val="Footnote"/>
    <w:basedOn w:val="1"/>
    <w:link w:val="Footnote1"/>
    <w:rPr>
      <w:rFonts w:ascii="Calibri" w:hAnsi="Calibri"/>
      <w:sz w:val="20"/>
    </w:rPr>
  </w:style>
  <w:style w:type="paragraph" w:customStyle="1" w:styleId="xl63">
    <w:name w:val="xl63"/>
    <w:basedOn w:val="a"/>
    <w:link w:val="xl630"/>
    <w:pPr>
      <w:spacing w:beforeAutospacing="1" w:afterAutospacing="1"/>
    </w:pPr>
  </w:style>
  <w:style w:type="character" w:customStyle="1" w:styleId="xl630">
    <w:name w:val="xl63"/>
    <w:basedOn w:val="1"/>
    <w:link w:val="xl63"/>
    <w:rPr>
      <w:sz w:val="24"/>
    </w:rPr>
  </w:style>
  <w:style w:type="paragraph" w:styleId="afc">
    <w:name w:val="Subtitle"/>
    <w:next w:val="a"/>
    <w:link w:val="afd"/>
    <w:uiPriority w:val="11"/>
    <w:qFormat/>
    <w:pPr>
      <w:jc w:val="both"/>
    </w:pPr>
    <w:rPr>
      <w:rFonts w:ascii="XO Thames" w:hAnsi="XO Thames"/>
      <w:i/>
      <w:sz w:val="24"/>
    </w:rPr>
  </w:style>
  <w:style w:type="character" w:customStyle="1" w:styleId="afd">
    <w:name w:val="Подзаголовок Знак"/>
    <w:link w:val="afc"/>
    <w:rPr>
      <w:rFonts w:ascii="XO Thames" w:hAnsi="XO Thames"/>
      <w:i/>
      <w:sz w:val="24"/>
    </w:rPr>
  </w:style>
  <w:style w:type="paragraph" w:customStyle="1" w:styleId="1f9">
    <w:name w:val="Обычный1"/>
    <w:link w:val="1fa"/>
    <w:rPr>
      <w:sz w:val="24"/>
    </w:rPr>
  </w:style>
  <w:style w:type="character" w:customStyle="1" w:styleId="1fa">
    <w:name w:val="Обычный1"/>
    <w:link w:val="1f9"/>
    <w:rPr>
      <w:sz w:val="24"/>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xl78">
    <w:name w:val="xl78"/>
    <w:basedOn w:val="a"/>
    <w:link w:val="xl780"/>
    <w:pPr>
      <w:spacing w:beforeAutospacing="1" w:afterAutospacing="1"/>
      <w:jc w:val="right"/>
    </w:pPr>
  </w:style>
  <w:style w:type="character" w:customStyle="1" w:styleId="xl780">
    <w:name w:val="xl78"/>
    <w:basedOn w:val="1"/>
    <w:link w:val="xl78"/>
    <w:rPr>
      <w:sz w:val="24"/>
    </w:rPr>
  </w:style>
  <w:style w:type="paragraph" w:styleId="afe">
    <w:name w:val="Title"/>
    <w:next w:val="a"/>
    <w:link w:val="aff"/>
    <w:uiPriority w:val="10"/>
    <w:qFormat/>
    <w:pPr>
      <w:spacing w:before="567" w:after="567"/>
      <w:jc w:val="center"/>
    </w:pPr>
    <w:rPr>
      <w:rFonts w:ascii="XO Thames" w:hAnsi="XO Thames"/>
      <w:b/>
      <w:caps/>
      <w:sz w:val="40"/>
    </w:rPr>
  </w:style>
  <w:style w:type="character" w:customStyle="1" w:styleId="aff">
    <w:name w:val="Название Знак"/>
    <w:link w:val="afe"/>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font5">
    <w:name w:val="font5"/>
    <w:basedOn w:val="a"/>
    <w:link w:val="font50"/>
    <w:pPr>
      <w:spacing w:beforeAutospacing="1" w:afterAutospacing="1"/>
    </w:pPr>
  </w:style>
  <w:style w:type="character" w:customStyle="1" w:styleId="font50">
    <w:name w:val="font5"/>
    <w:basedOn w:val="1"/>
    <w:link w:val="font5"/>
    <w:rPr>
      <w:sz w:val="24"/>
    </w:rPr>
  </w:style>
  <w:style w:type="character" w:customStyle="1" w:styleId="20">
    <w:name w:val="Заголовок 2 Знак"/>
    <w:link w:val="2"/>
    <w:rPr>
      <w:rFonts w:ascii="XO Thames" w:hAnsi="XO Thames"/>
      <w:b/>
      <w:sz w:val="28"/>
    </w:rPr>
  </w:style>
  <w:style w:type="paragraph" w:customStyle="1" w:styleId="1fb">
    <w:name w:val="Гиперссылка1"/>
    <w:link w:val="1fc"/>
    <w:rPr>
      <w:color w:val="0000FF"/>
      <w:u w:val="single"/>
    </w:rPr>
  </w:style>
  <w:style w:type="character" w:customStyle="1" w:styleId="1fc">
    <w:name w:val="Гиперссылка1"/>
    <w:link w:val="1fb"/>
    <w:rPr>
      <w:color w:val="0000FF"/>
      <w:u w:val="single"/>
    </w:rPr>
  </w:style>
  <w:style w:type="paragraph" w:customStyle="1" w:styleId="110">
    <w:name w:val="Знак1 Знак Знак Знак1"/>
    <w:basedOn w:val="a"/>
    <w:link w:val="111"/>
    <w:pPr>
      <w:spacing w:after="160" w:line="240" w:lineRule="exact"/>
    </w:pPr>
    <w:rPr>
      <w:rFonts w:ascii="Verdana" w:hAnsi="Verdana"/>
    </w:rPr>
  </w:style>
  <w:style w:type="character" w:customStyle="1" w:styleId="111">
    <w:name w:val="Знак1 Знак Знак Знак1"/>
    <w:basedOn w:val="1"/>
    <w:link w:val="110"/>
    <w:rPr>
      <w:rFonts w:ascii="Verdana" w:hAnsi="Verdana"/>
      <w:sz w:val="24"/>
    </w:rPr>
  </w:style>
  <w:style w:type="paragraph" w:customStyle="1" w:styleId="xl75">
    <w:name w:val="xl75"/>
    <w:basedOn w:val="a"/>
    <w:link w:val="xl750"/>
    <w:pPr>
      <w:spacing w:beforeAutospacing="1" w:afterAutospacing="1"/>
      <w:jc w:val="center"/>
    </w:pPr>
    <w:rPr>
      <w:b/>
      <w:sz w:val="28"/>
    </w:rPr>
  </w:style>
  <w:style w:type="character" w:customStyle="1" w:styleId="xl750">
    <w:name w:val="xl75"/>
    <w:basedOn w:val="1"/>
    <w:link w:val="xl75"/>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AC634-467D-4A0C-B171-41B3EA9E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8397</Words>
  <Characters>47866</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Скалова Елена Александровна</dc:creator>
  <cp:lastModifiedBy>Скалова Елена Александровна</cp:lastModifiedBy>
  <cp:revision>4</cp:revision>
  <dcterms:created xsi:type="dcterms:W3CDTF">2023-10-31T07:07:00Z</dcterms:created>
  <dcterms:modified xsi:type="dcterms:W3CDTF">2023-10-31T09:51:00Z</dcterms:modified>
</cp:coreProperties>
</file>